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F8969" w14:textId="77777777" w:rsidR="009D3667" w:rsidRPr="00CC3978" w:rsidRDefault="009D3667" w:rsidP="009D3667">
      <w:pPr>
        <w:rPr>
          <w:rFonts w:ascii="Verdana" w:hAnsi="Verdana"/>
        </w:rPr>
      </w:pPr>
    </w:p>
    <w:p w14:paraId="2167458E" w14:textId="3D57B370" w:rsidR="009D3667" w:rsidRPr="00CC3978" w:rsidRDefault="009D3667" w:rsidP="009D3667">
      <w:pPr>
        <w:rPr>
          <w:rFonts w:ascii="Verdana" w:hAnsi="Verdana"/>
          <w:i/>
          <w:iCs/>
        </w:rPr>
      </w:pPr>
      <w:r w:rsidRPr="00CC3978">
        <w:rPr>
          <w:rFonts w:ascii="Verdana" w:hAnsi="Verdana"/>
          <w:i/>
          <w:iCs/>
        </w:rPr>
        <w:t xml:space="preserve">THIS DOCUMENT IS IMPORTANT AND </w:t>
      </w:r>
      <w:r w:rsidR="009B0EE5" w:rsidRPr="00CC3978">
        <w:rPr>
          <w:rFonts w:ascii="Verdana" w:hAnsi="Verdana"/>
          <w:i/>
          <w:iCs/>
        </w:rPr>
        <w:t xml:space="preserve">YOU SHOULD READ IT CAREFULLY. You don’t need to do anything but if you have any questions please contact us using the details in this letter or speak to your financial adviser.   </w:t>
      </w:r>
    </w:p>
    <w:p w14:paraId="11E42C36" w14:textId="77777777" w:rsidR="009D3667" w:rsidRPr="00CC3978" w:rsidRDefault="009D3667" w:rsidP="009D3667">
      <w:pPr>
        <w:rPr>
          <w:rFonts w:ascii="Verdana" w:hAnsi="Verdana"/>
        </w:rPr>
      </w:pPr>
    </w:p>
    <w:p w14:paraId="7980BC00" w14:textId="3F9D2662" w:rsidR="009D3667" w:rsidRPr="00CC3978" w:rsidRDefault="009D3667" w:rsidP="009D3667">
      <w:pPr>
        <w:rPr>
          <w:rFonts w:ascii="Verdana" w:hAnsi="Verdana"/>
        </w:rPr>
      </w:pPr>
      <w:r w:rsidRPr="00CC3978">
        <w:rPr>
          <w:rFonts w:ascii="Verdana" w:hAnsi="Verdana"/>
        </w:rPr>
        <w:t xml:space="preserve">Dear </w:t>
      </w:r>
      <w:r w:rsidR="007E69C4" w:rsidRPr="00CC3978">
        <w:rPr>
          <w:rFonts w:ascii="Verdana" w:hAnsi="Verdana"/>
        </w:rPr>
        <w:t>Shareholder</w:t>
      </w:r>
    </w:p>
    <w:p w14:paraId="5AB94888" w14:textId="77777777" w:rsidR="009D3667" w:rsidRPr="00CC3978" w:rsidRDefault="009D3667" w:rsidP="009D3667">
      <w:pPr>
        <w:rPr>
          <w:rFonts w:ascii="Verdana" w:hAnsi="Verdana"/>
          <w:b/>
        </w:rPr>
      </w:pPr>
    </w:p>
    <w:p w14:paraId="11205F0D" w14:textId="565A6207" w:rsidR="009D3667" w:rsidRPr="00CC3978" w:rsidRDefault="009B0EE5" w:rsidP="007E69C4">
      <w:pPr>
        <w:rPr>
          <w:rFonts w:ascii="Verdana" w:hAnsi="Verdana"/>
          <w:b/>
        </w:rPr>
      </w:pPr>
      <w:r w:rsidRPr="00CC3978">
        <w:rPr>
          <w:rFonts w:ascii="Verdana" w:hAnsi="Verdana"/>
          <w:b/>
        </w:rPr>
        <w:t>C</w:t>
      </w:r>
      <w:r w:rsidR="009D3667" w:rsidRPr="00CC3978">
        <w:rPr>
          <w:rFonts w:ascii="Verdana" w:hAnsi="Verdana"/>
          <w:b/>
        </w:rPr>
        <w:t xml:space="preserve">hanges to the </w:t>
      </w:r>
      <w:r w:rsidRPr="00CC3978">
        <w:rPr>
          <w:rFonts w:ascii="Verdana" w:hAnsi="Verdana"/>
          <w:b/>
        </w:rPr>
        <w:t>a</w:t>
      </w:r>
      <w:r w:rsidR="009D3667" w:rsidRPr="00CC3978">
        <w:rPr>
          <w:rFonts w:ascii="Verdana" w:hAnsi="Verdana"/>
          <w:b/>
        </w:rPr>
        <w:t xml:space="preserve">uthorised </w:t>
      </w:r>
      <w:r w:rsidRPr="00CC3978">
        <w:rPr>
          <w:rFonts w:ascii="Verdana" w:hAnsi="Verdana"/>
          <w:b/>
        </w:rPr>
        <w:t>c</w:t>
      </w:r>
      <w:r w:rsidR="009D3667" w:rsidRPr="00CC3978">
        <w:rPr>
          <w:rFonts w:ascii="Verdana" w:hAnsi="Verdana"/>
          <w:b/>
        </w:rPr>
        <w:t xml:space="preserve">orporate </w:t>
      </w:r>
      <w:r w:rsidRPr="00CC3978">
        <w:rPr>
          <w:rFonts w:ascii="Verdana" w:hAnsi="Verdana"/>
          <w:b/>
        </w:rPr>
        <w:t>d</w:t>
      </w:r>
      <w:r w:rsidR="009D3667" w:rsidRPr="00CC3978">
        <w:rPr>
          <w:rFonts w:ascii="Verdana" w:hAnsi="Verdana"/>
          <w:b/>
        </w:rPr>
        <w:t xml:space="preserve">irector of </w:t>
      </w:r>
      <w:r w:rsidR="007E69C4" w:rsidRPr="00CC3978">
        <w:rPr>
          <w:rFonts w:ascii="Verdana" w:hAnsi="Verdana"/>
          <w:b/>
        </w:rPr>
        <w:t>Natixis Investment Funds U.K. ICVC</w:t>
      </w:r>
      <w:r w:rsidR="009D3667" w:rsidRPr="00CC3978">
        <w:rPr>
          <w:rFonts w:ascii="Verdana" w:hAnsi="Verdana"/>
          <w:b/>
        </w:rPr>
        <w:t xml:space="preserve"> (</w:t>
      </w:r>
      <w:r w:rsidR="007B0505" w:rsidRPr="00CC3978">
        <w:rPr>
          <w:rFonts w:ascii="Verdana" w:hAnsi="Verdana"/>
          <w:b/>
        </w:rPr>
        <w:t>“</w:t>
      </w:r>
      <w:r w:rsidR="009D3667" w:rsidRPr="00CC3978">
        <w:rPr>
          <w:rFonts w:ascii="Verdana" w:hAnsi="Verdana"/>
          <w:b/>
        </w:rPr>
        <w:t>the Company</w:t>
      </w:r>
      <w:r w:rsidR="007B0505" w:rsidRPr="00CC3978">
        <w:rPr>
          <w:rFonts w:ascii="Verdana" w:hAnsi="Verdana"/>
          <w:b/>
        </w:rPr>
        <w:t>”</w:t>
      </w:r>
      <w:r w:rsidR="009D3667" w:rsidRPr="00CC3978">
        <w:rPr>
          <w:rFonts w:ascii="Verdana" w:hAnsi="Verdana"/>
          <w:b/>
        </w:rPr>
        <w:t>) and its sub-funds</w:t>
      </w:r>
      <w:r w:rsidR="00FD64FE" w:rsidRPr="00CC3978">
        <w:rPr>
          <w:rFonts w:ascii="Verdana" w:hAnsi="Verdana"/>
          <w:b/>
        </w:rPr>
        <w:t>:</w:t>
      </w:r>
      <w:r w:rsidR="00C53791" w:rsidRPr="00CC3978">
        <w:rPr>
          <w:rFonts w:ascii="Verdana" w:hAnsi="Verdana"/>
          <w:b/>
        </w:rPr>
        <w:t xml:space="preserve"> </w:t>
      </w:r>
      <w:r w:rsidR="008200E2" w:rsidRPr="00CC3978">
        <w:rPr>
          <w:rFonts w:ascii="Verdana" w:hAnsi="Verdana"/>
          <w:b/>
        </w:rPr>
        <w:t>H2O MultiReturns Fund</w:t>
      </w:r>
      <w:r w:rsidR="00C53791" w:rsidRPr="00CC3978">
        <w:rPr>
          <w:rFonts w:ascii="Verdana" w:hAnsi="Verdana"/>
          <w:b/>
        </w:rPr>
        <w:t>;</w:t>
      </w:r>
      <w:r w:rsidR="00C22072" w:rsidRPr="00CC3978">
        <w:rPr>
          <w:rFonts w:ascii="Verdana" w:hAnsi="Verdana"/>
          <w:b/>
        </w:rPr>
        <w:t xml:space="preserve"> </w:t>
      </w:r>
      <w:r w:rsidR="009724F4" w:rsidRPr="00CC3978">
        <w:rPr>
          <w:rFonts w:ascii="Verdana" w:hAnsi="Verdana"/>
          <w:b/>
        </w:rPr>
        <w:t xml:space="preserve">Loomis Sayles Strategic Income Fund; </w:t>
      </w:r>
      <w:r w:rsidR="007E69C4" w:rsidRPr="00CC3978">
        <w:rPr>
          <w:rFonts w:ascii="Verdana" w:hAnsi="Verdana"/>
          <w:b/>
        </w:rPr>
        <w:t>Harris Associates Global Concentrated Equity Fund; Loomis Sayles U.S. Equity Leaders Fund; and Natixis Mirova Global Sustainable Equity Fund</w:t>
      </w:r>
      <w:r w:rsidR="009D3667" w:rsidRPr="00CC3978">
        <w:rPr>
          <w:rFonts w:ascii="Verdana" w:hAnsi="Verdana"/>
          <w:b/>
        </w:rPr>
        <w:t xml:space="preserve"> (the </w:t>
      </w:r>
      <w:r w:rsidR="007B0505" w:rsidRPr="00CC3978">
        <w:rPr>
          <w:rFonts w:ascii="Verdana" w:hAnsi="Verdana"/>
          <w:b/>
        </w:rPr>
        <w:t>“</w:t>
      </w:r>
      <w:r w:rsidR="009D3667" w:rsidRPr="00CC3978">
        <w:rPr>
          <w:rFonts w:ascii="Verdana" w:hAnsi="Verdana"/>
          <w:b/>
        </w:rPr>
        <w:t>Sub-Funds</w:t>
      </w:r>
      <w:r w:rsidR="007B0505" w:rsidRPr="00CC3978">
        <w:rPr>
          <w:rFonts w:ascii="Verdana" w:hAnsi="Verdana"/>
          <w:b/>
        </w:rPr>
        <w:t>”</w:t>
      </w:r>
      <w:r w:rsidR="009D3667" w:rsidRPr="00CC3978">
        <w:rPr>
          <w:rFonts w:ascii="Verdana" w:hAnsi="Verdana"/>
          <w:b/>
        </w:rPr>
        <w:t>)</w:t>
      </w:r>
      <w:r w:rsidR="007E69C4" w:rsidRPr="00CC3978">
        <w:rPr>
          <w:rFonts w:ascii="Verdana" w:hAnsi="Verdana"/>
          <w:b/>
        </w:rPr>
        <w:t xml:space="preserve">. </w:t>
      </w:r>
    </w:p>
    <w:p w14:paraId="21EB40CE" w14:textId="77777777" w:rsidR="009D3667" w:rsidRPr="00CC3978" w:rsidRDefault="009D3667" w:rsidP="009D3667">
      <w:pPr>
        <w:rPr>
          <w:rFonts w:ascii="Verdana" w:hAnsi="Verdana"/>
        </w:rPr>
      </w:pPr>
    </w:p>
    <w:p w14:paraId="1BBBDDD8" w14:textId="646F834D" w:rsidR="005E46F7" w:rsidRPr="00CC3978" w:rsidRDefault="009D3667" w:rsidP="009D3667">
      <w:pPr>
        <w:pStyle w:val="Level2"/>
        <w:numPr>
          <w:ilvl w:val="0"/>
          <w:numId w:val="0"/>
        </w:numPr>
        <w:rPr>
          <w:rFonts w:ascii="Verdana" w:hAnsi="Verdana"/>
        </w:rPr>
      </w:pPr>
      <w:r w:rsidRPr="00CC3978">
        <w:rPr>
          <w:rFonts w:ascii="Verdana" w:hAnsi="Verdana"/>
        </w:rPr>
        <w:t xml:space="preserve">We are writing to you as a shareholder in the Company to </w:t>
      </w:r>
      <w:r w:rsidR="00C6005A" w:rsidRPr="00CC3978">
        <w:rPr>
          <w:rFonts w:ascii="Verdana" w:hAnsi="Verdana"/>
        </w:rPr>
        <w:t xml:space="preserve">tell you </w:t>
      </w:r>
      <w:r w:rsidR="004D62A6" w:rsidRPr="00CC3978">
        <w:rPr>
          <w:rFonts w:ascii="Verdana" w:hAnsi="Verdana"/>
        </w:rPr>
        <w:t xml:space="preserve">about </w:t>
      </w:r>
      <w:r w:rsidR="00C6005A" w:rsidRPr="00CC3978">
        <w:rPr>
          <w:rFonts w:ascii="Verdana" w:hAnsi="Verdana"/>
        </w:rPr>
        <w:t xml:space="preserve">some </w:t>
      </w:r>
      <w:r w:rsidR="004D62A6" w:rsidRPr="00CC3978">
        <w:rPr>
          <w:rFonts w:ascii="Verdana" w:hAnsi="Verdana"/>
        </w:rPr>
        <w:t xml:space="preserve">important changes </w:t>
      </w:r>
      <w:r w:rsidR="005E46F7" w:rsidRPr="00CC3978">
        <w:rPr>
          <w:rFonts w:ascii="Verdana" w:hAnsi="Verdana"/>
        </w:rPr>
        <w:t xml:space="preserve">that we </w:t>
      </w:r>
      <w:r w:rsidR="00741A90">
        <w:rPr>
          <w:rFonts w:ascii="Verdana" w:hAnsi="Verdana"/>
        </w:rPr>
        <w:t xml:space="preserve">will be making </w:t>
      </w:r>
      <w:r w:rsidR="004D62A6" w:rsidRPr="00CC3978">
        <w:rPr>
          <w:rFonts w:ascii="Verdana" w:hAnsi="Verdana"/>
        </w:rPr>
        <w:t xml:space="preserve">to the Company. </w:t>
      </w:r>
    </w:p>
    <w:p w14:paraId="072733B0" w14:textId="5C8CB28F" w:rsidR="004D62A6" w:rsidRPr="00CC3978" w:rsidRDefault="00741A90" w:rsidP="009D3667">
      <w:pPr>
        <w:pStyle w:val="Level2"/>
        <w:numPr>
          <w:ilvl w:val="0"/>
          <w:numId w:val="0"/>
        </w:numPr>
        <w:rPr>
          <w:rFonts w:ascii="Verdana" w:hAnsi="Verdana"/>
        </w:rPr>
      </w:pPr>
      <w:r>
        <w:rPr>
          <w:rFonts w:ascii="Verdana" w:hAnsi="Verdana"/>
        </w:rPr>
        <w:t xml:space="preserve">On 17 November </w:t>
      </w:r>
      <w:r w:rsidR="005E46F7" w:rsidRPr="00CC3978">
        <w:rPr>
          <w:rFonts w:ascii="Verdana" w:hAnsi="Verdana"/>
        </w:rPr>
        <w:t>the Financial Conduct Authority (</w:t>
      </w:r>
      <w:r w:rsidR="005E46F7" w:rsidRPr="00142120">
        <w:rPr>
          <w:rFonts w:ascii="Verdana" w:hAnsi="Verdana"/>
          <w:b/>
          <w:bCs/>
        </w:rPr>
        <w:t>FCA</w:t>
      </w:r>
      <w:r w:rsidR="005E46F7" w:rsidRPr="00CC3978">
        <w:rPr>
          <w:rFonts w:ascii="Verdana" w:hAnsi="Verdana"/>
        </w:rPr>
        <w:t>), approv</w:t>
      </w:r>
      <w:r>
        <w:rPr>
          <w:rFonts w:ascii="Verdana" w:hAnsi="Verdana"/>
        </w:rPr>
        <w:t>ed</w:t>
      </w:r>
      <w:r w:rsidR="0076467D">
        <w:rPr>
          <w:rFonts w:ascii="Verdana" w:hAnsi="Verdana"/>
        </w:rPr>
        <w:t xml:space="preserve"> </w:t>
      </w:r>
      <w:r w:rsidR="005E46F7" w:rsidRPr="00CC3978">
        <w:rPr>
          <w:rFonts w:ascii="Verdana" w:hAnsi="Verdana"/>
        </w:rPr>
        <w:t xml:space="preserve">the changes </w:t>
      </w:r>
      <w:r w:rsidR="007328AB">
        <w:rPr>
          <w:rFonts w:ascii="Verdana" w:hAnsi="Verdana"/>
        </w:rPr>
        <w:t xml:space="preserve">to the Company explained </w:t>
      </w:r>
      <w:r w:rsidR="005E46F7" w:rsidRPr="00CC3978">
        <w:rPr>
          <w:rFonts w:ascii="Verdana" w:hAnsi="Verdana"/>
        </w:rPr>
        <w:t xml:space="preserve">in this letter and we are planning to make </w:t>
      </w:r>
      <w:r w:rsidR="004D62A6" w:rsidRPr="00CC3978">
        <w:rPr>
          <w:rFonts w:ascii="Verdana" w:hAnsi="Verdana"/>
        </w:rPr>
        <w:t>the</w:t>
      </w:r>
      <w:r w:rsidR="00987E79">
        <w:rPr>
          <w:rFonts w:ascii="Verdana" w:hAnsi="Verdana"/>
        </w:rPr>
        <w:t>se</w:t>
      </w:r>
      <w:r w:rsidR="00142120">
        <w:rPr>
          <w:rFonts w:ascii="Verdana" w:hAnsi="Verdana"/>
        </w:rPr>
        <w:t xml:space="preserve"> </w:t>
      </w:r>
      <w:r w:rsidR="004D62A6" w:rsidRPr="00CC3978">
        <w:rPr>
          <w:rFonts w:ascii="Verdana" w:hAnsi="Verdana"/>
        </w:rPr>
        <w:t xml:space="preserve">changes </w:t>
      </w:r>
      <w:r w:rsidR="00C6005A" w:rsidRPr="00CC3978">
        <w:rPr>
          <w:rFonts w:ascii="Verdana" w:hAnsi="Verdana"/>
        </w:rPr>
        <w:t xml:space="preserve">on </w:t>
      </w:r>
      <w:r w:rsidR="00836FBC">
        <w:rPr>
          <w:rFonts w:ascii="Verdana" w:hAnsi="Verdana"/>
        </w:rPr>
        <w:t xml:space="preserve">18  </w:t>
      </w:r>
      <w:r w:rsidR="000E6D0F" w:rsidRPr="00CC3978">
        <w:rPr>
          <w:rFonts w:ascii="Verdana" w:hAnsi="Verdana"/>
        </w:rPr>
        <w:t>December 2023</w:t>
      </w:r>
      <w:r w:rsidR="000E6D0F" w:rsidRPr="00CC3978" w:rsidDel="009B0EE5">
        <w:rPr>
          <w:rFonts w:ascii="Verdana" w:hAnsi="Verdana"/>
        </w:rPr>
        <w:t xml:space="preserve"> </w:t>
      </w:r>
      <w:r w:rsidR="004D62A6" w:rsidRPr="00CC3978">
        <w:rPr>
          <w:rFonts w:ascii="Verdana" w:hAnsi="Verdana"/>
        </w:rPr>
        <w:t xml:space="preserve"> (</w:t>
      </w:r>
      <w:r w:rsidR="004D62A6" w:rsidRPr="00CC3978">
        <w:rPr>
          <w:rFonts w:ascii="Verdana" w:hAnsi="Verdana"/>
          <w:b/>
        </w:rPr>
        <w:t>Effective Date</w:t>
      </w:r>
      <w:r w:rsidR="004D62A6" w:rsidRPr="00CC3978">
        <w:rPr>
          <w:rFonts w:ascii="Verdana" w:hAnsi="Verdana"/>
        </w:rPr>
        <w:t>)</w:t>
      </w:r>
      <w:r w:rsidR="005E46F7" w:rsidRPr="00CC3978">
        <w:rPr>
          <w:rFonts w:ascii="Verdana" w:hAnsi="Verdana"/>
        </w:rPr>
        <w:t>.  If for any reason the</w:t>
      </w:r>
      <w:r w:rsidR="00987E79">
        <w:rPr>
          <w:rFonts w:ascii="Verdana" w:hAnsi="Verdana"/>
        </w:rPr>
        <w:t>se</w:t>
      </w:r>
      <w:r w:rsidR="005E46F7" w:rsidRPr="00CC3978">
        <w:rPr>
          <w:rFonts w:ascii="Verdana" w:hAnsi="Verdana"/>
        </w:rPr>
        <w:t xml:space="preserve"> change</w:t>
      </w:r>
      <w:r w:rsidR="00987E79">
        <w:rPr>
          <w:rFonts w:ascii="Verdana" w:hAnsi="Verdana"/>
        </w:rPr>
        <w:t>s</w:t>
      </w:r>
      <w:r w:rsidR="005E46F7" w:rsidRPr="00CC3978">
        <w:rPr>
          <w:rFonts w:ascii="Verdana" w:hAnsi="Verdana"/>
        </w:rPr>
        <w:t xml:space="preserve"> do</w:t>
      </w:r>
      <w:r w:rsidR="00987E79">
        <w:rPr>
          <w:rFonts w:ascii="Verdana" w:hAnsi="Verdana"/>
        </w:rPr>
        <w:t xml:space="preserve"> not </w:t>
      </w:r>
      <w:r w:rsidR="005E46F7" w:rsidRPr="00CC3978">
        <w:rPr>
          <w:rFonts w:ascii="Verdana" w:hAnsi="Verdana"/>
        </w:rPr>
        <w:t xml:space="preserve"> happen on the Effective Date we will write to you again and will post information</w:t>
      </w:r>
      <w:r w:rsidR="009262AD" w:rsidRPr="00CC3978">
        <w:rPr>
          <w:rFonts w:ascii="Verdana" w:hAnsi="Verdana"/>
        </w:rPr>
        <w:t xml:space="preserve"> </w:t>
      </w:r>
      <w:r w:rsidR="000E6D0F" w:rsidRPr="00CC3978">
        <w:rPr>
          <w:rFonts w:ascii="Verdana" w:hAnsi="Verdana"/>
        </w:rPr>
        <w:t>on the Natixis</w:t>
      </w:r>
      <w:r w:rsidR="00001C0E" w:rsidRPr="00CC3978">
        <w:rPr>
          <w:rFonts w:ascii="Verdana" w:hAnsi="Verdana"/>
        </w:rPr>
        <w:t xml:space="preserve"> Investment Managers’</w:t>
      </w:r>
      <w:r w:rsidR="000E6D0F" w:rsidRPr="00CC3978">
        <w:rPr>
          <w:rFonts w:ascii="Verdana" w:hAnsi="Verdana"/>
        </w:rPr>
        <w:t xml:space="preserve"> website at </w:t>
      </w:r>
      <w:r w:rsidR="002D500E" w:rsidRPr="00D44A90">
        <w:rPr>
          <w:rFonts w:ascii="Verdana" w:hAnsi="Verdana"/>
        </w:rPr>
        <w:t>https://www.im.natixis.com/intl/intl-fund-documents/uk</w:t>
      </w:r>
      <w:r w:rsidR="00C6005A" w:rsidRPr="00CC3978">
        <w:rPr>
          <w:rFonts w:ascii="Verdana" w:hAnsi="Verdana"/>
        </w:rPr>
        <w:t xml:space="preserve">. </w:t>
      </w:r>
    </w:p>
    <w:p w14:paraId="2806F401" w14:textId="77777777" w:rsidR="00142120" w:rsidRDefault="004D62A6" w:rsidP="00142120">
      <w:pPr>
        <w:pStyle w:val="Level2"/>
        <w:numPr>
          <w:ilvl w:val="0"/>
          <w:numId w:val="24"/>
        </w:numPr>
        <w:rPr>
          <w:rFonts w:ascii="Verdana" w:hAnsi="Verdana"/>
          <w:b/>
        </w:rPr>
      </w:pPr>
      <w:r w:rsidRPr="00CC3978">
        <w:rPr>
          <w:rFonts w:ascii="Verdana" w:hAnsi="Verdana"/>
          <w:b/>
        </w:rPr>
        <w:t xml:space="preserve">Changes to the </w:t>
      </w:r>
      <w:r w:rsidR="00721EA0" w:rsidRPr="00CC3978">
        <w:rPr>
          <w:rFonts w:ascii="Verdana" w:hAnsi="Verdana"/>
          <w:b/>
        </w:rPr>
        <w:t xml:space="preserve">authorised corporate director  </w:t>
      </w:r>
      <w:r w:rsidRPr="00CC3978">
        <w:rPr>
          <w:rFonts w:ascii="Verdana" w:hAnsi="Verdana"/>
          <w:b/>
        </w:rPr>
        <w:t xml:space="preserve">of the Company </w:t>
      </w:r>
    </w:p>
    <w:p w14:paraId="5F768C05" w14:textId="786A067B" w:rsidR="004D62A6" w:rsidRPr="00CC3978" w:rsidRDefault="00987E79" w:rsidP="00721EA0">
      <w:pPr>
        <w:pStyle w:val="Level2"/>
        <w:numPr>
          <w:ilvl w:val="0"/>
          <w:numId w:val="0"/>
        </w:numPr>
        <w:rPr>
          <w:rFonts w:ascii="Verdana" w:hAnsi="Verdana"/>
        </w:rPr>
      </w:pPr>
      <w:r>
        <w:rPr>
          <w:rFonts w:ascii="Verdana" w:hAnsi="Verdana"/>
        </w:rPr>
        <w:t>T</w:t>
      </w:r>
      <w:r w:rsidR="009D3667" w:rsidRPr="00CC3978">
        <w:rPr>
          <w:rFonts w:ascii="Verdana" w:hAnsi="Verdana"/>
        </w:rPr>
        <w:t>he authorised corporate director of the Company (</w:t>
      </w:r>
      <w:r w:rsidR="009D3667" w:rsidRPr="00CC3978">
        <w:rPr>
          <w:rFonts w:ascii="Verdana" w:hAnsi="Verdana"/>
          <w:b/>
        </w:rPr>
        <w:t>ACD</w:t>
      </w:r>
      <w:r w:rsidR="009D3667" w:rsidRPr="00CC3978">
        <w:rPr>
          <w:rFonts w:ascii="Verdana" w:hAnsi="Verdana"/>
        </w:rPr>
        <w:t>) will be changing from</w:t>
      </w:r>
      <w:r w:rsidR="001244FB" w:rsidRPr="00CC3978">
        <w:rPr>
          <w:rFonts w:ascii="Verdana" w:hAnsi="Verdana"/>
        </w:rPr>
        <w:t xml:space="preserve"> N</w:t>
      </w:r>
      <w:r w:rsidR="007E69C4" w:rsidRPr="00CC3978">
        <w:rPr>
          <w:rFonts w:ascii="Verdana" w:hAnsi="Verdana"/>
        </w:rPr>
        <w:t>atixis Investment Managers S.A. (</w:t>
      </w:r>
      <w:r w:rsidR="007B0505" w:rsidRPr="00CC3978">
        <w:rPr>
          <w:rFonts w:ascii="Verdana" w:hAnsi="Verdana"/>
        </w:rPr>
        <w:t>“</w:t>
      </w:r>
      <w:r w:rsidR="007E69C4" w:rsidRPr="00CC3978">
        <w:rPr>
          <w:rFonts w:ascii="Verdana" w:hAnsi="Verdana"/>
          <w:b/>
        </w:rPr>
        <w:t>Natixis</w:t>
      </w:r>
      <w:r w:rsidR="007B0505" w:rsidRPr="00CC3978">
        <w:rPr>
          <w:rFonts w:ascii="Verdana" w:hAnsi="Verdana"/>
        </w:rPr>
        <w:t>”</w:t>
      </w:r>
      <w:r w:rsidR="007E69C4" w:rsidRPr="00CC3978">
        <w:rPr>
          <w:rFonts w:ascii="Verdana" w:hAnsi="Verdana"/>
        </w:rPr>
        <w:t xml:space="preserve">) to </w:t>
      </w:r>
      <w:r w:rsidR="004A7966" w:rsidRPr="00CC3978">
        <w:rPr>
          <w:rFonts w:ascii="Verdana" w:hAnsi="Verdana"/>
        </w:rPr>
        <w:t>Thesis Unit Trust Management</w:t>
      </w:r>
      <w:r w:rsidR="004A7966" w:rsidRPr="00CC3978">
        <w:rPr>
          <w:rFonts w:ascii="Verdana" w:hAnsi="Verdana"/>
          <w:noProof/>
        </w:rPr>
        <w:t xml:space="preserve"> Limited </w:t>
      </w:r>
      <w:r w:rsidR="009D3667" w:rsidRPr="00CC3978">
        <w:rPr>
          <w:rFonts w:ascii="Verdana" w:hAnsi="Verdana"/>
        </w:rPr>
        <w:t>(</w:t>
      </w:r>
      <w:r w:rsidR="001244FB" w:rsidRPr="00CC3978">
        <w:rPr>
          <w:rFonts w:ascii="Verdana" w:hAnsi="Verdana"/>
          <w:b/>
          <w:bCs/>
        </w:rPr>
        <w:t>Tutman</w:t>
      </w:r>
      <w:r w:rsidR="007E69C4" w:rsidRPr="00CC3978">
        <w:rPr>
          <w:rFonts w:ascii="Verdana" w:hAnsi="Verdana"/>
        </w:rPr>
        <w:t>)</w:t>
      </w:r>
      <w:r w:rsidR="009D3667" w:rsidRPr="00CC3978">
        <w:rPr>
          <w:rFonts w:ascii="Verdana" w:hAnsi="Verdana"/>
        </w:rPr>
        <w:t xml:space="preserve">. </w:t>
      </w:r>
    </w:p>
    <w:p w14:paraId="5A9A0F97" w14:textId="006CCDC3" w:rsidR="00B75746" w:rsidRPr="00CC3978" w:rsidRDefault="00143651" w:rsidP="00B75746">
      <w:pPr>
        <w:pStyle w:val="Level2"/>
        <w:numPr>
          <w:ilvl w:val="0"/>
          <w:numId w:val="0"/>
        </w:numPr>
        <w:rPr>
          <w:rFonts w:cs="Arial"/>
        </w:rPr>
      </w:pPr>
      <w:r w:rsidRPr="00CC3978">
        <w:rPr>
          <w:rStyle w:val="cf01"/>
          <w:rFonts w:ascii="Verdana" w:hAnsi="Verdana"/>
          <w:sz w:val="20"/>
          <w:szCs w:val="20"/>
        </w:rPr>
        <w:t xml:space="preserve">Tutman </w:t>
      </w:r>
      <w:r w:rsidRPr="00CC3978">
        <w:rPr>
          <w:rFonts w:ascii="Verdana" w:hAnsi="Verdana"/>
        </w:rPr>
        <w:t xml:space="preserve">is a leading independent </w:t>
      </w:r>
      <w:r w:rsidR="009262AD" w:rsidRPr="00CC3978">
        <w:rPr>
          <w:rFonts w:ascii="Verdana" w:hAnsi="Verdana"/>
        </w:rPr>
        <w:t>authorised corporate director</w:t>
      </w:r>
      <w:r w:rsidR="00142120">
        <w:rPr>
          <w:rFonts w:ascii="Verdana" w:hAnsi="Verdana"/>
        </w:rPr>
        <w:t xml:space="preserve"> </w:t>
      </w:r>
      <w:r w:rsidRPr="00CC3978">
        <w:rPr>
          <w:rFonts w:ascii="Verdana" w:hAnsi="Verdana"/>
        </w:rPr>
        <w:t>which manages over £</w:t>
      </w:r>
      <w:r w:rsidR="001C3242" w:rsidRPr="00CC3978">
        <w:rPr>
          <w:rFonts w:ascii="Verdana" w:hAnsi="Verdana"/>
        </w:rPr>
        <w:t xml:space="preserve">32 </w:t>
      </w:r>
      <w:r w:rsidRPr="00CC3978">
        <w:rPr>
          <w:rFonts w:ascii="Verdana" w:hAnsi="Verdana"/>
        </w:rPr>
        <w:t xml:space="preserve">billion in the UK </w:t>
      </w:r>
      <w:r w:rsidR="001B350F" w:rsidRPr="00CC3978">
        <w:rPr>
          <w:rStyle w:val="cf01"/>
          <w:rFonts w:ascii="Verdana" w:hAnsi="Verdana"/>
          <w:sz w:val="20"/>
          <w:szCs w:val="20"/>
        </w:rPr>
        <w:t xml:space="preserve">and has been regulated to provide such services since 1998. In this time, Tutman has built up the necessary depth of resources and experience to support a sophisticated client base and to execute a robust independent oversight program of the service providers within the </w:t>
      </w:r>
      <w:r w:rsidRPr="00CC3978">
        <w:rPr>
          <w:rStyle w:val="cf01"/>
          <w:rFonts w:ascii="Verdana" w:hAnsi="Verdana"/>
          <w:sz w:val="20"/>
          <w:szCs w:val="20"/>
        </w:rPr>
        <w:t>Company</w:t>
      </w:r>
      <w:r w:rsidR="001B350F" w:rsidRPr="00CC3978">
        <w:rPr>
          <w:rStyle w:val="cf01"/>
        </w:rPr>
        <w:t>.</w:t>
      </w:r>
      <w:r w:rsidR="00B75746" w:rsidRPr="00CC3978">
        <w:rPr>
          <w:rFonts w:ascii="Verdana" w:hAnsi="Verdana"/>
        </w:rPr>
        <w:t xml:space="preserve"> Further details about Tutman can be obtained at: </w:t>
      </w:r>
      <w:hyperlink r:id="rId9" w:history="1">
        <w:r w:rsidR="00B75746" w:rsidRPr="00CC3978">
          <w:rPr>
            <w:rStyle w:val="Hyperlink"/>
            <w:rFonts w:ascii="Verdana" w:hAnsi="Verdana"/>
          </w:rPr>
          <w:t>www.tutman.co.uk</w:t>
        </w:r>
      </w:hyperlink>
      <w:r w:rsidR="00B75746" w:rsidRPr="00CC3978">
        <w:rPr>
          <w:rFonts w:ascii="Verdana" w:hAnsi="Verdana"/>
        </w:rPr>
        <w:t xml:space="preserve"> or by writing to Tutman at Exchange Building, St John</w:t>
      </w:r>
      <w:r w:rsidR="00DE0021" w:rsidRPr="00CC3978">
        <w:rPr>
          <w:rFonts w:ascii="Verdana" w:hAnsi="Verdana"/>
        </w:rPr>
        <w:t>’</w:t>
      </w:r>
      <w:r w:rsidR="00B75746" w:rsidRPr="00CC3978">
        <w:rPr>
          <w:rFonts w:ascii="Verdana" w:hAnsi="Verdana"/>
        </w:rPr>
        <w:t>s Street, Chichester, West Sussex, PO19 1UP.</w:t>
      </w:r>
      <w:r w:rsidR="00B75746" w:rsidRPr="00CC3978">
        <w:rPr>
          <w:rStyle w:val="cf01"/>
        </w:rPr>
        <w:t xml:space="preserve">  </w:t>
      </w:r>
    </w:p>
    <w:p w14:paraId="4C9CC86F" w14:textId="3982B03D" w:rsidR="001B350F" w:rsidRDefault="00D137E6" w:rsidP="001B350F">
      <w:pPr>
        <w:pStyle w:val="pf0"/>
        <w:rPr>
          <w:rStyle w:val="cf01"/>
          <w:rFonts w:ascii="Verdana" w:hAnsi="Verdana"/>
          <w:sz w:val="20"/>
          <w:szCs w:val="20"/>
        </w:rPr>
      </w:pPr>
      <w:r>
        <w:rPr>
          <w:rStyle w:val="cf01"/>
          <w:rFonts w:ascii="Verdana" w:hAnsi="Verdana"/>
          <w:sz w:val="20"/>
          <w:szCs w:val="20"/>
        </w:rPr>
        <w:t xml:space="preserve">On </w:t>
      </w:r>
      <w:r w:rsidR="006B3A90" w:rsidRPr="00CC3978">
        <w:rPr>
          <w:rStyle w:val="cf01"/>
          <w:rFonts w:ascii="Verdana" w:hAnsi="Verdana"/>
          <w:sz w:val="20"/>
          <w:szCs w:val="20"/>
        </w:rPr>
        <w:t xml:space="preserve">the </w:t>
      </w:r>
      <w:r w:rsidR="006B3A90" w:rsidRPr="00CC3978">
        <w:rPr>
          <w:rStyle w:val="cf21"/>
          <w:rFonts w:ascii="Verdana" w:hAnsi="Verdana"/>
          <w:b w:val="0"/>
          <w:bCs w:val="0"/>
          <w:sz w:val="20"/>
          <w:szCs w:val="20"/>
        </w:rPr>
        <w:t>Effective Date</w:t>
      </w:r>
      <w:r w:rsidR="006B3A90" w:rsidRPr="00CC3978">
        <w:rPr>
          <w:rStyle w:val="cf01"/>
          <w:rFonts w:ascii="Verdana" w:hAnsi="Verdana"/>
          <w:sz w:val="20"/>
          <w:szCs w:val="20"/>
        </w:rPr>
        <w:t xml:space="preserve">, Natixis will retire as </w:t>
      </w:r>
      <w:r w:rsidR="00835901" w:rsidRPr="00CC3978">
        <w:rPr>
          <w:rStyle w:val="cf01"/>
          <w:rFonts w:ascii="Verdana" w:hAnsi="Verdana"/>
          <w:sz w:val="20"/>
          <w:szCs w:val="20"/>
        </w:rPr>
        <w:t>ACD</w:t>
      </w:r>
      <w:r w:rsidR="006B3A90" w:rsidRPr="00CC3978">
        <w:rPr>
          <w:rStyle w:val="cf01"/>
          <w:rFonts w:ascii="Verdana" w:hAnsi="Verdana"/>
          <w:sz w:val="20"/>
          <w:szCs w:val="20"/>
        </w:rPr>
        <w:t xml:space="preserve"> of the Company and be replaced by Tutman.  </w:t>
      </w:r>
      <w:r w:rsidR="007A3B13" w:rsidRPr="00CC3978">
        <w:rPr>
          <w:rFonts w:ascii="Verdana" w:hAnsi="Verdana"/>
          <w:sz w:val="20"/>
          <w:szCs w:val="20"/>
        </w:rPr>
        <w:t>Natixis Investment Managers International is a</w:t>
      </w:r>
      <w:r w:rsidR="008A237F" w:rsidRPr="00CC3978">
        <w:rPr>
          <w:rStyle w:val="cf01"/>
          <w:rFonts w:ascii="Verdana" w:hAnsi="Verdana"/>
          <w:sz w:val="20"/>
          <w:szCs w:val="20"/>
        </w:rPr>
        <w:t xml:space="preserve">nother Natixis group company </w:t>
      </w:r>
      <w:r w:rsidR="007A3B13" w:rsidRPr="00CC3978">
        <w:rPr>
          <w:rStyle w:val="cf01"/>
          <w:rFonts w:ascii="Verdana" w:hAnsi="Verdana"/>
          <w:sz w:val="20"/>
          <w:szCs w:val="20"/>
        </w:rPr>
        <w:t xml:space="preserve">and </w:t>
      </w:r>
      <w:r w:rsidR="008A237F" w:rsidRPr="00CC3978">
        <w:rPr>
          <w:rStyle w:val="cf01"/>
          <w:rFonts w:ascii="Verdana" w:hAnsi="Verdana"/>
          <w:sz w:val="20"/>
          <w:szCs w:val="20"/>
        </w:rPr>
        <w:t>will</w:t>
      </w:r>
      <w:r w:rsidR="008E24E0" w:rsidRPr="00CC3978">
        <w:rPr>
          <w:rStyle w:val="cf01"/>
          <w:rFonts w:ascii="Verdana" w:hAnsi="Verdana"/>
          <w:sz w:val="20"/>
          <w:szCs w:val="20"/>
        </w:rPr>
        <w:t xml:space="preserve"> become </w:t>
      </w:r>
      <w:r w:rsidR="008A237F" w:rsidRPr="00CC3978">
        <w:rPr>
          <w:rStyle w:val="cf01"/>
          <w:rFonts w:ascii="Verdana" w:hAnsi="Verdana"/>
          <w:sz w:val="20"/>
          <w:szCs w:val="20"/>
        </w:rPr>
        <w:t xml:space="preserve"> the </w:t>
      </w:r>
      <w:r w:rsidR="004A48A2" w:rsidRPr="00CC3978">
        <w:rPr>
          <w:rStyle w:val="cf01"/>
          <w:rFonts w:ascii="Verdana" w:hAnsi="Verdana"/>
          <w:sz w:val="20"/>
          <w:szCs w:val="20"/>
        </w:rPr>
        <w:t>investment manager</w:t>
      </w:r>
      <w:r w:rsidR="008A237F" w:rsidRPr="00CC3978">
        <w:rPr>
          <w:rStyle w:val="cf01"/>
          <w:rFonts w:ascii="Verdana" w:hAnsi="Verdana"/>
          <w:sz w:val="20"/>
          <w:szCs w:val="20"/>
        </w:rPr>
        <w:t xml:space="preserve"> and distributor of the Sub-Funds in addition to acting as the co-manufacturer with Tutman to ensure that the Company meet</w:t>
      </w:r>
      <w:r w:rsidR="0042699F">
        <w:rPr>
          <w:rStyle w:val="cf01"/>
          <w:rFonts w:ascii="Verdana" w:hAnsi="Verdana"/>
          <w:sz w:val="20"/>
          <w:szCs w:val="20"/>
        </w:rPr>
        <w:t>s</w:t>
      </w:r>
      <w:r w:rsidR="008A237F" w:rsidRPr="00CC3978">
        <w:rPr>
          <w:rStyle w:val="cf01"/>
          <w:rFonts w:ascii="Verdana" w:hAnsi="Verdana"/>
          <w:sz w:val="20"/>
          <w:szCs w:val="20"/>
        </w:rPr>
        <w:t xml:space="preserve"> client needs, and the strategy for distribution is compatible with the target market.</w:t>
      </w:r>
    </w:p>
    <w:p w14:paraId="42D511DF" w14:textId="5CAD54F5" w:rsidR="001B6938" w:rsidRPr="00CC3978" w:rsidRDefault="001B6938" w:rsidP="001B6938">
      <w:pPr>
        <w:pStyle w:val="pf0"/>
        <w:rPr>
          <w:rStyle w:val="cf01"/>
          <w:rFonts w:ascii="Verdana" w:hAnsi="Verdana"/>
          <w:sz w:val="20"/>
          <w:szCs w:val="20"/>
        </w:rPr>
      </w:pPr>
      <w:r w:rsidRPr="00CC3978">
        <w:rPr>
          <w:rFonts w:ascii="Verdana" w:hAnsi="Verdana"/>
          <w:sz w:val="20"/>
          <w:szCs w:val="20"/>
        </w:rPr>
        <w:t>The UK market remains a core focus for Natixis and its strategy includes the expansion and development of its UK fund range. As a result of Brexit</w:t>
      </w:r>
      <w:r>
        <w:rPr>
          <w:rFonts w:ascii="Verdana" w:hAnsi="Verdana"/>
          <w:sz w:val="20"/>
          <w:szCs w:val="20"/>
        </w:rPr>
        <w:t>,</w:t>
      </w:r>
      <w:r w:rsidRPr="00CC3978">
        <w:rPr>
          <w:rStyle w:val="cf01"/>
          <w:rFonts w:ascii="Verdana" w:hAnsi="Verdana"/>
          <w:sz w:val="20"/>
          <w:szCs w:val="20"/>
        </w:rPr>
        <w:t xml:space="preserve"> Natixis can</w:t>
      </w:r>
      <w:r>
        <w:rPr>
          <w:rStyle w:val="cf01"/>
          <w:rFonts w:ascii="Verdana" w:hAnsi="Verdana"/>
          <w:sz w:val="20"/>
          <w:szCs w:val="20"/>
        </w:rPr>
        <w:t>not</w:t>
      </w:r>
      <w:r w:rsidRPr="00CC3978">
        <w:rPr>
          <w:rStyle w:val="cf01"/>
          <w:rFonts w:ascii="Verdana" w:hAnsi="Verdana"/>
          <w:sz w:val="20"/>
          <w:szCs w:val="20"/>
        </w:rPr>
        <w:t xml:space="preserve"> </w:t>
      </w:r>
      <w:r>
        <w:rPr>
          <w:rStyle w:val="cf01"/>
          <w:rFonts w:ascii="Verdana" w:hAnsi="Verdana"/>
          <w:sz w:val="20"/>
          <w:szCs w:val="20"/>
        </w:rPr>
        <w:t xml:space="preserve">remain </w:t>
      </w:r>
      <w:r w:rsidRPr="00CC3978">
        <w:rPr>
          <w:rStyle w:val="cf01"/>
          <w:rFonts w:ascii="Verdana" w:hAnsi="Verdana"/>
          <w:sz w:val="20"/>
          <w:szCs w:val="20"/>
        </w:rPr>
        <w:t xml:space="preserve">the ACD of the Sub-Funds </w:t>
      </w:r>
      <w:r>
        <w:rPr>
          <w:rStyle w:val="cf01"/>
          <w:rFonts w:ascii="Verdana" w:hAnsi="Verdana"/>
          <w:sz w:val="20"/>
          <w:szCs w:val="20"/>
        </w:rPr>
        <w:t xml:space="preserve">after December 31, 2023. As a result, </w:t>
      </w:r>
      <w:r w:rsidRPr="00CC3978">
        <w:rPr>
          <w:rStyle w:val="cf01"/>
          <w:rFonts w:ascii="Verdana" w:hAnsi="Verdana"/>
          <w:sz w:val="20"/>
          <w:szCs w:val="20"/>
        </w:rPr>
        <w:t xml:space="preserve">we are retiring and a replacement ACD </w:t>
      </w:r>
      <w:r>
        <w:rPr>
          <w:rStyle w:val="cf01"/>
          <w:rFonts w:ascii="Verdana" w:hAnsi="Verdana"/>
          <w:sz w:val="20"/>
          <w:szCs w:val="20"/>
        </w:rPr>
        <w:t xml:space="preserve">named Tutman </w:t>
      </w:r>
      <w:r w:rsidRPr="00CC3978">
        <w:rPr>
          <w:rStyle w:val="cf01"/>
          <w:rFonts w:ascii="Verdana" w:hAnsi="Verdana"/>
          <w:sz w:val="20"/>
          <w:szCs w:val="20"/>
        </w:rPr>
        <w:t>will take our place.  Companies in our group will still be the investment managers of the Sub-Funds and will distribute the Sub-Funds.</w:t>
      </w:r>
    </w:p>
    <w:p w14:paraId="7AAA81CA" w14:textId="2DC2129B" w:rsidR="00D324C8" w:rsidRPr="00CC3978" w:rsidRDefault="00D324C8" w:rsidP="009D3667">
      <w:pPr>
        <w:pStyle w:val="Level2"/>
        <w:numPr>
          <w:ilvl w:val="0"/>
          <w:numId w:val="0"/>
        </w:numPr>
        <w:rPr>
          <w:rFonts w:ascii="Verdana" w:hAnsi="Verdana"/>
        </w:rPr>
      </w:pPr>
      <w:r w:rsidRPr="00CC3978">
        <w:rPr>
          <w:rFonts w:ascii="Verdana" w:hAnsi="Verdana"/>
        </w:rPr>
        <w:t xml:space="preserve">Please note that it is not anticipated that the change of ACD from Natixis to </w:t>
      </w:r>
      <w:r w:rsidR="00A1468B" w:rsidRPr="00CC3978">
        <w:rPr>
          <w:rFonts w:ascii="Verdana" w:hAnsi="Verdana"/>
        </w:rPr>
        <w:t>Tutman</w:t>
      </w:r>
      <w:r w:rsidRPr="00CC3978">
        <w:rPr>
          <w:rFonts w:ascii="Verdana" w:hAnsi="Verdana"/>
        </w:rPr>
        <w:t xml:space="preserve"> will result in material changes. In particular, all of the other service providers to the Company (including the </w:t>
      </w:r>
      <w:r w:rsidR="001B350F" w:rsidRPr="00CC3978">
        <w:rPr>
          <w:rFonts w:ascii="Verdana" w:hAnsi="Verdana"/>
        </w:rPr>
        <w:t xml:space="preserve"> </w:t>
      </w:r>
      <w:r w:rsidRPr="00CC3978">
        <w:rPr>
          <w:rFonts w:ascii="Verdana" w:hAnsi="Verdana"/>
        </w:rPr>
        <w:t>depositary, transfer agent</w:t>
      </w:r>
      <w:r w:rsidR="00133E30" w:rsidRPr="00CC3978">
        <w:rPr>
          <w:rFonts w:ascii="Verdana" w:hAnsi="Verdana"/>
        </w:rPr>
        <w:t>,</w:t>
      </w:r>
      <w:r w:rsidRPr="00CC3978">
        <w:rPr>
          <w:rFonts w:ascii="Verdana" w:hAnsi="Verdana"/>
        </w:rPr>
        <w:t xml:space="preserve"> administrator</w:t>
      </w:r>
      <w:r w:rsidR="00133E30" w:rsidRPr="00CC3978">
        <w:rPr>
          <w:rFonts w:ascii="Verdana" w:hAnsi="Verdana"/>
        </w:rPr>
        <w:t xml:space="preserve"> and auditor</w:t>
      </w:r>
      <w:r w:rsidRPr="00CC3978">
        <w:rPr>
          <w:rFonts w:ascii="Verdana" w:hAnsi="Verdana"/>
        </w:rPr>
        <w:t xml:space="preserve">) will remain the same and there will not </w:t>
      </w:r>
      <w:r w:rsidR="00142120">
        <w:rPr>
          <w:rFonts w:ascii="Verdana" w:hAnsi="Verdana"/>
        </w:rPr>
        <w:t xml:space="preserve">be an </w:t>
      </w:r>
      <w:r w:rsidRPr="00CC3978">
        <w:rPr>
          <w:rFonts w:ascii="Verdana" w:hAnsi="Verdana"/>
        </w:rPr>
        <w:t xml:space="preserve">increase in costs. </w:t>
      </w:r>
    </w:p>
    <w:p w14:paraId="1F986062" w14:textId="115E5545" w:rsidR="00D324C8" w:rsidRPr="00CC3978" w:rsidRDefault="00D324C8" w:rsidP="009D3667">
      <w:pPr>
        <w:pStyle w:val="Level2"/>
        <w:numPr>
          <w:ilvl w:val="0"/>
          <w:numId w:val="0"/>
        </w:numPr>
        <w:rPr>
          <w:rFonts w:ascii="Verdana" w:hAnsi="Verdana"/>
        </w:rPr>
      </w:pPr>
      <w:r w:rsidRPr="00CC3978">
        <w:rPr>
          <w:rFonts w:ascii="Verdana" w:hAnsi="Verdana"/>
        </w:rPr>
        <w:lastRenderedPageBreak/>
        <w:t xml:space="preserve">There are a few changes to the </w:t>
      </w:r>
      <w:r w:rsidRPr="00697B8A">
        <w:rPr>
          <w:rFonts w:ascii="Verdana" w:hAnsi="Verdana"/>
        </w:rPr>
        <w:t xml:space="preserve">Company and Sub-Funds, which are further described in this letter. </w:t>
      </w:r>
      <w:r w:rsidR="0077135B" w:rsidRPr="00697B8A">
        <w:rPr>
          <w:rFonts w:ascii="Verdana" w:hAnsi="Verdana"/>
        </w:rPr>
        <w:t xml:space="preserve">You should </w:t>
      </w:r>
      <w:r w:rsidRPr="00697B8A">
        <w:rPr>
          <w:rFonts w:ascii="Verdana" w:hAnsi="Verdana"/>
        </w:rPr>
        <w:t xml:space="preserve">read this letter in full and, if you have any questions prior to the Effective Date, you </w:t>
      </w:r>
      <w:r w:rsidR="00C021BB">
        <w:rPr>
          <w:rFonts w:ascii="Verdana" w:hAnsi="Verdana"/>
        </w:rPr>
        <w:t xml:space="preserve">can </w:t>
      </w:r>
      <w:r w:rsidRPr="00697B8A">
        <w:rPr>
          <w:rFonts w:ascii="Verdana" w:hAnsi="Verdana"/>
        </w:rPr>
        <w:t xml:space="preserve">contact us on </w:t>
      </w:r>
      <w:hyperlink r:id="rId10" w:history="1">
        <w:r w:rsidR="00AD61C1" w:rsidRPr="00697B8A">
          <w:rPr>
            <w:rFonts w:ascii="Verdana" w:hAnsi="Verdana"/>
            <w:shd w:val="clear" w:color="auto" w:fill="F5F5F5"/>
          </w:rPr>
          <w:t xml:space="preserve"> 0203 405 6000</w:t>
        </w:r>
      </w:hyperlink>
      <w:r w:rsidR="00697B8A">
        <w:rPr>
          <w:rFonts w:ascii="Verdana" w:hAnsi="Verdana"/>
        </w:rPr>
        <w:t xml:space="preserve"> </w:t>
      </w:r>
      <w:r w:rsidRPr="00697B8A">
        <w:rPr>
          <w:rFonts w:ascii="Verdana" w:hAnsi="Verdana"/>
        </w:rPr>
        <w:t xml:space="preserve">or, if you have any questions after the Effective Date, you </w:t>
      </w:r>
      <w:r w:rsidR="00C021BB">
        <w:rPr>
          <w:rFonts w:ascii="Verdana" w:hAnsi="Verdana"/>
        </w:rPr>
        <w:t xml:space="preserve">can </w:t>
      </w:r>
      <w:r w:rsidRPr="00697B8A">
        <w:rPr>
          <w:rFonts w:ascii="Verdana" w:hAnsi="Verdana"/>
        </w:rPr>
        <w:t xml:space="preserve">contact </w:t>
      </w:r>
      <w:r w:rsidR="00A1468B" w:rsidRPr="00697B8A">
        <w:rPr>
          <w:rFonts w:ascii="Verdana" w:hAnsi="Verdana"/>
        </w:rPr>
        <w:t>Tutman</w:t>
      </w:r>
      <w:r w:rsidRPr="00697B8A">
        <w:rPr>
          <w:rFonts w:ascii="Verdana" w:hAnsi="Verdana"/>
        </w:rPr>
        <w:t xml:space="preserve"> on </w:t>
      </w:r>
      <w:r w:rsidR="00E4458F" w:rsidRPr="00697B8A">
        <w:rPr>
          <w:rFonts w:ascii="Verdana" w:hAnsi="Verdana" w:cs="Segoe UI"/>
          <w:shd w:val="clear" w:color="auto" w:fill="FFFFFF"/>
        </w:rPr>
        <w:t>01243 531234</w:t>
      </w:r>
      <w:r w:rsidRPr="00CC3978">
        <w:rPr>
          <w:rFonts w:ascii="Verdana" w:hAnsi="Verdana"/>
        </w:rPr>
        <w:t xml:space="preserve">. </w:t>
      </w:r>
    </w:p>
    <w:p w14:paraId="2E24AFF1" w14:textId="77777777" w:rsidR="005A2D25" w:rsidRPr="00CC3978" w:rsidRDefault="005A2D25" w:rsidP="00C87FA9">
      <w:pPr>
        <w:rPr>
          <w:rFonts w:ascii="Verdana" w:hAnsi="Verdana"/>
        </w:rPr>
      </w:pPr>
    </w:p>
    <w:p w14:paraId="6F5A86AD" w14:textId="6707D4B8" w:rsidR="005A2D25" w:rsidRPr="00CC3978" w:rsidRDefault="00501237" w:rsidP="00142120">
      <w:pPr>
        <w:pStyle w:val="ListParagraph"/>
        <w:numPr>
          <w:ilvl w:val="0"/>
          <w:numId w:val="24"/>
        </w:numPr>
        <w:rPr>
          <w:rFonts w:ascii="Verdana" w:hAnsi="Verdana"/>
          <w:b/>
        </w:rPr>
      </w:pPr>
      <w:r w:rsidRPr="00CC3978">
        <w:rPr>
          <w:rFonts w:ascii="Verdana" w:hAnsi="Verdana"/>
          <w:b/>
        </w:rPr>
        <w:t>C</w:t>
      </w:r>
      <w:r w:rsidR="005A2D25" w:rsidRPr="00CC3978">
        <w:rPr>
          <w:rFonts w:ascii="Verdana" w:hAnsi="Verdana"/>
          <w:b/>
        </w:rPr>
        <w:t>hanges effective from the Effective Date</w:t>
      </w:r>
    </w:p>
    <w:p w14:paraId="38419440" w14:textId="77777777" w:rsidR="005A2D25" w:rsidRPr="00CC3978" w:rsidRDefault="005A2D25" w:rsidP="00C87FA9">
      <w:pPr>
        <w:rPr>
          <w:rFonts w:ascii="Verdana" w:hAnsi="Verdana"/>
        </w:rPr>
      </w:pPr>
    </w:p>
    <w:p w14:paraId="112871DE" w14:textId="38CBE559" w:rsidR="00697B8A" w:rsidRDefault="003A2F4D" w:rsidP="006A5C27">
      <w:pPr>
        <w:pStyle w:val="Level2"/>
        <w:numPr>
          <w:ilvl w:val="0"/>
          <w:numId w:val="0"/>
        </w:numPr>
        <w:rPr>
          <w:rFonts w:ascii="Verdana" w:hAnsi="Verdana"/>
        </w:rPr>
      </w:pPr>
      <w:r w:rsidRPr="00CC3978">
        <w:rPr>
          <w:rFonts w:ascii="Verdana" w:hAnsi="Verdana"/>
        </w:rPr>
        <w:t xml:space="preserve">We explain the changes that will happen because of the change of ACD to Tutman below.  </w:t>
      </w:r>
      <w:r w:rsidR="004D62A6" w:rsidRPr="00CC3978">
        <w:rPr>
          <w:rFonts w:ascii="Verdana" w:hAnsi="Verdana"/>
        </w:rPr>
        <w:t xml:space="preserve">These changes will also be effective from the Effective Date. </w:t>
      </w:r>
    </w:p>
    <w:p w14:paraId="012A666C" w14:textId="77777777" w:rsidR="00F22B65" w:rsidRDefault="00F22B65" w:rsidP="006A5C27">
      <w:pPr>
        <w:pStyle w:val="Level2"/>
        <w:numPr>
          <w:ilvl w:val="0"/>
          <w:numId w:val="0"/>
        </w:numPr>
        <w:rPr>
          <w:rFonts w:ascii="Verdana" w:hAnsi="Verdana"/>
        </w:rPr>
      </w:pPr>
    </w:p>
    <w:p w14:paraId="61FFFEDF" w14:textId="57A500ED" w:rsidR="009D3667" w:rsidRPr="00CC3978" w:rsidRDefault="009D3667" w:rsidP="00142120">
      <w:pPr>
        <w:pStyle w:val="Level2"/>
        <w:numPr>
          <w:ilvl w:val="0"/>
          <w:numId w:val="24"/>
        </w:numPr>
        <w:rPr>
          <w:rFonts w:ascii="Verdana" w:hAnsi="Verdana"/>
        </w:rPr>
      </w:pPr>
      <w:r w:rsidRPr="00CC3978">
        <w:rPr>
          <w:rFonts w:ascii="Verdana" w:hAnsi="Verdana"/>
          <w:b/>
        </w:rPr>
        <w:t>Changes to the name of the Company and its Sub-Funds</w:t>
      </w:r>
    </w:p>
    <w:p w14:paraId="34E1AC6B" w14:textId="357397AC" w:rsidR="009D3667" w:rsidRPr="00CC3978" w:rsidRDefault="009D3667" w:rsidP="009D3667">
      <w:pPr>
        <w:pStyle w:val="Level2"/>
        <w:numPr>
          <w:ilvl w:val="0"/>
          <w:numId w:val="0"/>
        </w:numPr>
        <w:jc w:val="left"/>
        <w:rPr>
          <w:rFonts w:ascii="Verdana" w:hAnsi="Verdana"/>
        </w:rPr>
      </w:pPr>
      <w:r w:rsidRPr="00CC3978">
        <w:rPr>
          <w:rFonts w:ascii="Verdana" w:hAnsi="Verdana"/>
        </w:rPr>
        <w:t xml:space="preserve">With effect from the Effective Date, the Company and the Sub-Funds will be renamed to refer to </w:t>
      </w:r>
      <w:r w:rsidR="00A1468B" w:rsidRPr="00CC3978">
        <w:rPr>
          <w:rFonts w:ascii="Verdana" w:hAnsi="Verdana"/>
        </w:rPr>
        <w:t>Tutman</w:t>
      </w:r>
      <w:r w:rsidRPr="00CC3978">
        <w:rPr>
          <w:rFonts w:ascii="Verdana" w:hAnsi="Verdana"/>
        </w:rPr>
        <w:t xml:space="preserve"> </w:t>
      </w:r>
      <w:r w:rsidR="003578EF" w:rsidRPr="00CC3978">
        <w:rPr>
          <w:rFonts w:ascii="Verdana" w:hAnsi="Verdana"/>
        </w:rPr>
        <w:t xml:space="preserve">(or </w:t>
      </w:r>
      <w:r w:rsidR="007B0505" w:rsidRPr="00CC3978">
        <w:rPr>
          <w:rFonts w:ascii="Verdana" w:hAnsi="Verdana"/>
        </w:rPr>
        <w:t>“</w:t>
      </w:r>
      <w:r w:rsidR="00806F99" w:rsidRPr="00CC3978">
        <w:rPr>
          <w:rFonts w:ascii="Verdana" w:hAnsi="Verdana"/>
        </w:rPr>
        <w:t>TM</w:t>
      </w:r>
      <w:r w:rsidR="007B0505" w:rsidRPr="00CC3978">
        <w:rPr>
          <w:rFonts w:ascii="Verdana" w:hAnsi="Verdana"/>
        </w:rPr>
        <w:t>”</w:t>
      </w:r>
      <w:r w:rsidR="003578EF" w:rsidRPr="00CC3978">
        <w:rPr>
          <w:rFonts w:ascii="Verdana" w:hAnsi="Verdana"/>
        </w:rPr>
        <w:t xml:space="preserve">) </w:t>
      </w:r>
      <w:r w:rsidR="00050E52" w:rsidRPr="00CC3978">
        <w:rPr>
          <w:rFonts w:ascii="Verdana" w:hAnsi="Verdana"/>
        </w:rPr>
        <w:t xml:space="preserve">at the start of the name to reflect the fact that </w:t>
      </w:r>
      <w:r w:rsidR="00A1468B" w:rsidRPr="00CC3978">
        <w:rPr>
          <w:rFonts w:ascii="Verdana" w:hAnsi="Verdana"/>
        </w:rPr>
        <w:t>Tutman</w:t>
      </w:r>
      <w:r w:rsidR="00050E52" w:rsidRPr="00CC3978">
        <w:rPr>
          <w:rFonts w:ascii="Verdana" w:hAnsi="Verdana"/>
        </w:rPr>
        <w:t xml:space="preserve"> will be the new ACD</w:t>
      </w:r>
      <w:r w:rsidR="009262AD" w:rsidRPr="00CC3978">
        <w:rPr>
          <w:rFonts w:ascii="Verdana" w:hAnsi="Verdana"/>
        </w:rPr>
        <w:t xml:space="preserve">. </w:t>
      </w:r>
      <w:r w:rsidR="00E65CC0" w:rsidRPr="00CC3978">
        <w:rPr>
          <w:rFonts w:ascii="Verdana" w:hAnsi="Verdana"/>
        </w:rPr>
        <w:t>“Natixis”</w:t>
      </w:r>
      <w:r w:rsidR="00333E24" w:rsidRPr="00CC3978">
        <w:rPr>
          <w:rFonts w:ascii="Verdana" w:hAnsi="Verdana"/>
        </w:rPr>
        <w:t xml:space="preserve"> </w:t>
      </w:r>
      <w:r w:rsidR="00E65CC0" w:rsidRPr="00CC3978">
        <w:rPr>
          <w:rFonts w:ascii="Verdana" w:hAnsi="Verdana"/>
        </w:rPr>
        <w:t xml:space="preserve">will appear in the Sub-Funds’ names </w:t>
      </w:r>
      <w:r w:rsidR="00333E24" w:rsidRPr="00CC3978">
        <w:rPr>
          <w:rFonts w:ascii="Verdana" w:hAnsi="Verdana"/>
        </w:rPr>
        <w:t>(</w:t>
      </w:r>
      <w:r w:rsidR="00892C99" w:rsidRPr="00CC3978">
        <w:rPr>
          <w:rFonts w:ascii="Verdana" w:hAnsi="Verdana"/>
        </w:rPr>
        <w:t xml:space="preserve">except </w:t>
      </w:r>
      <w:r w:rsidR="00333E24" w:rsidRPr="00CC3978">
        <w:rPr>
          <w:rFonts w:ascii="Verdana" w:hAnsi="Verdana"/>
        </w:rPr>
        <w:t xml:space="preserve"> </w:t>
      </w:r>
      <w:r w:rsidR="00F74193">
        <w:rPr>
          <w:rFonts w:ascii="Verdana" w:hAnsi="Verdana"/>
        </w:rPr>
        <w:t xml:space="preserve">in one </w:t>
      </w:r>
      <w:r w:rsidR="00892C99" w:rsidRPr="00CC3978">
        <w:rPr>
          <w:rFonts w:ascii="Verdana" w:hAnsi="Verdana"/>
        </w:rPr>
        <w:t xml:space="preserve">fund) </w:t>
      </w:r>
      <w:r w:rsidR="00E65CC0" w:rsidRPr="00CC3978">
        <w:rPr>
          <w:rFonts w:ascii="Verdana" w:hAnsi="Verdana"/>
        </w:rPr>
        <w:t xml:space="preserve">to reflect that </w:t>
      </w:r>
      <w:r w:rsidR="00333E24" w:rsidRPr="00CC3978">
        <w:rPr>
          <w:rFonts w:ascii="Verdana" w:hAnsi="Verdana"/>
        </w:rPr>
        <w:t xml:space="preserve">Natixis Investment Managers International is the </w:t>
      </w:r>
      <w:r w:rsidR="009262AD" w:rsidRPr="00CC3978">
        <w:rPr>
          <w:rFonts w:ascii="Verdana" w:hAnsi="Verdana"/>
        </w:rPr>
        <w:t xml:space="preserve">investment manager and distributor </w:t>
      </w:r>
      <w:r w:rsidR="00E65CC0" w:rsidRPr="00CC3978">
        <w:rPr>
          <w:rFonts w:ascii="Verdana" w:hAnsi="Verdana"/>
        </w:rPr>
        <w:t>of the Company</w:t>
      </w:r>
      <w:r w:rsidRPr="00CC3978">
        <w:rPr>
          <w:rFonts w:ascii="Verdana" w:hAnsi="Verdana"/>
        </w:rPr>
        <w:t>. The change to the Company and Sub-Fund names will be as follows</w:t>
      </w:r>
      <w:r w:rsidR="0052323C" w:rsidRPr="00CC3978">
        <w:rPr>
          <w:rFonts w:ascii="Verdana" w:hAnsi="Verdana"/>
        </w:rPr>
        <w:t xml:space="preserve"> and the prospectus and the instrument of incorporation will be amended </w:t>
      </w:r>
      <w:r w:rsidRPr="00CC3978">
        <w:rPr>
          <w:rFonts w:ascii="Verdana" w:hAnsi="Verdana"/>
        </w:rPr>
        <w:t>:</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8"/>
        <w:gridCol w:w="4208"/>
      </w:tblGrid>
      <w:tr w:rsidR="009D3667" w:rsidRPr="00CC3978" w14:paraId="02499CB4" w14:textId="77777777" w:rsidTr="006D702E">
        <w:tc>
          <w:tcPr>
            <w:tcW w:w="4208" w:type="dxa"/>
            <w:shd w:val="clear" w:color="auto" w:fill="auto"/>
          </w:tcPr>
          <w:p w14:paraId="50A064EE" w14:textId="77777777" w:rsidR="009D3667" w:rsidRPr="00CC3978" w:rsidRDefault="009D3667" w:rsidP="006D702E">
            <w:pPr>
              <w:pStyle w:val="Answer"/>
              <w:ind w:right="-108"/>
              <w:rPr>
                <w:rFonts w:ascii="Verdana" w:hAnsi="Verdana" w:cs="Arial"/>
                <w:b/>
                <w:sz w:val="20"/>
                <w:lang w:val="en-GB" w:eastAsia="en-GB"/>
              </w:rPr>
            </w:pPr>
            <w:r w:rsidRPr="00CC3978">
              <w:rPr>
                <w:rFonts w:ascii="Verdana" w:hAnsi="Verdana" w:cs="Arial"/>
                <w:b/>
                <w:sz w:val="20"/>
                <w:lang w:val="en-GB" w:eastAsia="en-GB"/>
              </w:rPr>
              <w:t>Existing Name</w:t>
            </w:r>
          </w:p>
        </w:tc>
        <w:tc>
          <w:tcPr>
            <w:tcW w:w="4208" w:type="dxa"/>
            <w:shd w:val="clear" w:color="auto" w:fill="auto"/>
          </w:tcPr>
          <w:p w14:paraId="344CD30E" w14:textId="77777777" w:rsidR="009D3667" w:rsidRPr="00CC3978" w:rsidRDefault="009D3667" w:rsidP="006D702E">
            <w:pPr>
              <w:pStyle w:val="Answer"/>
              <w:ind w:right="-108"/>
              <w:rPr>
                <w:rFonts w:ascii="Verdana" w:hAnsi="Verdana" w:cs="Arial"/>
                <w:b/>
                <w:sz w:val="20"/>
                <w:lang w:val="en-GB" w:eastAsia="en-GB"/>
              </w:rPr>
            </w:pPr>
            <w:r w:rsidRPr="00CC3978">
              <w:rPr>
                <w:rFonts w:ascii="Verdana" w:hAnsi="Verdana" w:cs="Arial"/>
                <w:b/>
                <w:sz w:val="20"/>
                <w:lang w:val="en-GB" w:eastAsia="en-GB"/>
              </w:rPr>
              <w:t>Name from the Effective Date</w:t>
            </w:r>
          </w:p>
        </w:tc>
      </w:tr>
      <w:tr w:rsidR="009D3667" w:rsidRPr="00CC3978" w14:paraId="563D13BC" w14:textId="77777777" w:rsidTr="006D702E">
        <w:tc>
          <w:tcPr>
            <w:tcW w:w="4208" w:type="dxa"/>
            <w:shd w:val="clear" w:color="auto" w:fill="auto"/>
          </w:tcPr>
          <w:p w14:paraId="5D0D45FC" w14:textId="3C6B9669" w:rsidR="009D3667" w:rsidRPr="00CC3978" w:rsidRDefault="003578EF" w:rsidP="006D702E">
            <w:pPr>
              <w:pStyle w:val="Answer"/>
              <w:ind w:right="-108"/>
              <w:rPr>
                <w:rFonts w:ascii="Verdana" w:hAnsi="Verdana" w:cs="Arial"/>
                <w:sz w:val="20"/>
                <w:lang w:val="en-GB" w:eastAsia="en-GB"/>
              </w:rPr>
            </w:pPr>
            <w:r w:rsidRPr="00CC3978">
              <w:rPr>
                <w:rFonts w:ascii="Verdana" w:hAnsi="Verdana" w:cs="Arial"/>
                <w:sz w:val="20"/>
                <w:lang w:val="en-GB" w:eastAsia="en-GB"/>
              </w:rPr>
              <w:t>Natixis Investment Funds U.K. ICVC</w:t>
            </w:r>
          </w:p>
        </w:tc>
        <w:tc>
          <w:tcPr>
            <w:tcW w:w="4208" w:type="dxa"/>
            <w:shd w:val="clear" w:color="auto" w:fill="auto"/>
          </w:tcPr>
          <w:p w14:paraId="6142AEE9" w14:textId="1D46A0AE" w:rsidR="009D3667" w:rsidRPr="00CC3978" w:rsidRDefault="000679A5" w:rsidP="006D702E">
            <w:pPr>
              <w:pStyle w:val="Answer"/>
              <w:ind w:right="-108"/>
              <w:rPr>
                <w:rFonts w:ascii="Verdana" w:hAnsi="Verdana" w:cs="Arial"/>
                <w:sz w:val="20"/>
                <w:lang w:val="en-GB" w:eastAsia="en-GB"/>
              </w:rPr>
            </w:pPr>
            <w:r w:rsidRPr="00CC3978">
              <w:rPr>
                <w:rFonts w:ascii="Verdana" w:hAnsi="Verdana" w:cs="Arial"/>
                <w:sz w:val="20"/>
                <w:lang w:val="en-GB" w:eastAsia="en-GB"/>
              </w:rPr>
              <w:t xml:space="preserve">TM </w:t>
            </w:r>
            <w:r w:rsidR="00892C99" w:rsidRPr="00CC3978">
              <w:rPr>
                <w:rFonts w:ascii="Verdana" w:hAnsi="Verdana" w:cs="Arial"/>
                <w:sz w:val="20"/>
                <w:lang w:val="en-GB" w:eastAsia="en-GB"/>
              </w:rPr>
              <w:t xml:space="preserve">Natixis </w:t>
            </w:r>
            <w:r w:rsidR="003578EF" w:rsidRPr="00CC3978">
              <w:rPr>
                <w:rFonts w:ascii="Verdana" w:hAnsi="Verdana" w:cs="Arial"/>
                <w:sz w:val="20"/>
                <w:lang w:val="en-GB" w:eastAsia="en-GB"/>
              </w:rPr>
              <w:t>Investment Funds U.K. ICVC</w:t>
            </w:r>
          </w:p>
        </w:tc>
      </w:tr>
      <w:tr w:rsidR="00050E52" w:rsidRPr="00CC3978" w14:paraId="44B8945B" w14:textId="77777777" w:rsidTr="006D702E">
        <w:tc>
          <w:tcPr>
            <w:tcW w:w="4208" w:type="dxa"/>
            <w:shd w:val="clear" w:color="auto" w:fill="auto"/>
          </w:tcPr>
          <w:p w14:paraId="002AED24" w14:textId="358E33BE" w:rsidR="00050E52" w:rsidRPr="00CC3978" w:rsidRDefault="00050E52" w:rsidP="00050E52">
            <w:pPr>
              <w:pStyle w:val="Answer"/>
              <w:ind w:right="-108"/>
              <w:rPr>
                <w:rFonts w:ascii="Verdana" w:hAnsi="Verdana" w:cs="Arial"/>
                <w:sz w:val="20"/>
                <w:lang w:val="en-GB" w:eastAsia="en-GB"/>
              </w:rPr>
            </w:pPr>
            <w:r w:rsidRPr="00CC3978">
              <w:rPr>
                <w:rFonts w:ascii="Verdana" w:hAnsi="Verdana"/>
                <w:sz w:val="20"/>
              </w:rPr>
              <w:t>Harris Associates Global Concentrated Equity Fund</w:t>
            </w:r>
          </w:p>
        </w:tc>
        <w:tc>
          <w:tcPr>
            <w:tcW w:w="4208" w:type="dxa"/>
            <w:shd w:val="clear" w:color="auto" w:fill="auto"/>
          </w:tcPr>
          <w:p w14:paraId="09D82964" w14:textId="5E4397CC" w:rsidR="00050E52" w:rsidRPr="00CC3978" w:rsidRDefault="000679A5" w:rsidP="00050E52">
            <w:pPr>
              <w:pStyle w:val="Answer"/>
              <w:ind w:right="-108"/>
              <w:rPr>
                <w:rFonts w:ascii="Verdana" w:hAnsi="Verdana" w:cs="Arial"/>
                <w:sz w:val="20"/>
                <w:lang w:val="en-GB" w:eastAsia="en-GB"/>
              </w:rPr>
            </w:pPr>
            <w:r w:rsidRPr="00CC3978">
              <w:rPr>
                <w:rFonts w:ascii="Verdana" w:hAnsi="Verdana" w:cs="Arial"/>
                <w:sz w:val="20"/>
                <w:lang w:val="en-GB" w:eastAsia="en-GB"/>
              </w:rPr>
              <w:t xml:space="preserve">TM </w:t>
            </w:r>
            <w:r w:rsidR="0032725A" w:rsidRPr="00CC3978">
              <w:rPr>
                <w:rFonts w:ascii="Verdana" w:hAnsi="Verdana" w:cs="Arial"/>
                <w:sz w:val="20"/>
                <w:lang w:val="en-GB" w:eastAsia="en-GB"/>
              </w:rPr>
              <w:t xml:space="preserve">Natixis </w:t>
            </w:r>
            <w:r w:rsidR="0032725A" w:rsidRPr="00CC3978">
              <w:rPr>
                <w:rFonts w:ascii="Verdana" w:hAnsi="Verdana"/>
                <w:sz w:val="20"/>
              </w:rPr>
              <w:t>Harris Associates Global Concentrated Equity Fund</w:t>
            </w:r>
          </w:p>
        </w:tc>
      </w:tr>
      <w:tr w:rsidR="00050E52" w:rsidRPr="00CC3978" w14:paraId="27F6F1DC" w14:textId="77777777" w:rsidTr="006D702E">
        <w:tc>
          <w:tcPr>
            <w:tcW w:w="4208" w:type="dxa"/>
            <w:shd w:val="clear" w:color="auto" w:fill="auto"/>
          </w:tcPr>
          <w:p w14:paraId="0FD5168D" w14:textId="4AE89196" w:rsidR="00050E52" w:rsidRPr="00CC3978" w:rsidRDefault="00050E52" w:rsidP="00050E52">
            <w:pPr>
              <w:pStyle w:val="Answer"/>
              <w:ind w:right="-108"/>
              <w:rPr>
                <w:rFonts w:ascii="Verdana" w:hAnsi="Verdana" w:cs="Arial"/>
                <w:sz w:val="20"/>
                <w:lang w:val="en-GB" w:eastAsia="en-GB"/>
              </w:rPr>
            </w:pPr>
            <w:r w:rsidRPr="00CC3978">
              <w:rPr>
                <w:rFonts w:ascii="Verdana" w:hAnsi="Verdana"/>
                <w:sz w:val="20"/>
              </w:rPr>
              <w:t>Loomis Sayles U.S. Equity Leaders Fund</w:t>
            </w:r>
          </w:p>
        </w:tc>
        <w:tc>
          <w:tcPr>
            <w:tcW w:w="4208" w:type="dxa"/>
            <w:shd w:val="clear" w:color="auto" w:fill="auto"/>
          </w:tcPr>
          <w:p w14:paraId="7CCEE367" w14:textId="793D32AE" w:rsidR="00050E52" w:rsidRPr="00CC3978" w:rsidRDefault="000679A5" w:rsidP="00050E52">
            <w:pPr>
              <w:pStyle w:val="Answer"/>
              <w:ind w:right="-108"/>
              <w:rPr>
                <w:rFonts w:ascii="Verdana" w:hAnsi="Verdana" w:cs="Arial"/>
                <w:sz w:val="20"/>
                <w:lang w:val="en-GB" w:eastAsia="en-GB"/>
              </w:rPr>
            </w:pPr>
            <w:r w:rsidRPr="00CC3978">
              <w:rPr>
                <w:rFonts w:ascii="Verdana" w:hAnsi="Verdana" w:cs="Arial"/>
                <w:sz w:val="20"/>
                <w:lang w:val="en-GB" w:eastAsia="en-GB"/>
              </w:rPr>
              <w:t xml:space="preserve">TM Natixis </w:t>
            </w:r>
            <w:r w:rsidR="0032725A" w:rsidRPr="00CC3978">
              <w:rPr>
                <w:rFonts w:ascii="Verdana" w:hAnsi="Verdana" w:cs="Arial"/>
                <w:sz w:val="20"/>
                <w:lang w:val="en-GB" w:eastAsia="en-GB"/>
              </w:rPr>
              <w:t>Loomis Sayles U.S. Equity Leaders Fund</w:t>
            </w:r>
          </w:p>
        </w:tc>
      </w:tr>
      <w:tr w:rsidR="00050E52" w:rsidRPr="00CC3978" w14:paraId="336C8B70" w14:textId="77777777" w:rsidTr="006D702E">
        <w:tc>
          <w:tcPr>
            <w:tcW w:w="4208" w:type="dxa"/>
            <w:shd w:val="clear" w:color="auto" w:fill="auto"/>
          </w:tcPr>
          <w:p w14:paraId="50B25598" w14:textId="6CD34421" w:rsidR="00050E52" w:rsidRPr="00CC3978" w:rsidRDefault="00050E52" w:rsidP="00050E52">
            <w:pPr>
              <w:pStyle w:val="Answer"/>
              <w:ind w:right="-108"/>
              <w:rPr>
                <w:rFonts w:ascii="Verdana" w:hAnsi="Verdana" w:cs="Arial"/>
                <w:sz w:val="20"/>
                <w:lang w:val="en-GB" w:eastAsia="en-GB"/>
              </w:rPr>
            </w:pPr>
            <w:r w:rsidRPr="00CC3978">
              <w:rPr>
                <w:rFonts w:ascii="Verdana" w:hAnsi="Verdana"/>
                <w:sz w:val="20"/>
              </w:rPr>
              <w:t>Natixis Mirova Global Sustainable Equity Fund</w:t>
            </w:r>
          </w:p>
        </w:tc>
        <w:tc>
          <w:tcPr>
            <w:tcW w:w="4208" w:type="dxa"/>
            <w:shd w:val="clear" w:color="auto" w:fill="auto"/>
          </w:tcPr>
          <w:p w14:paraId="648A946A" w14:textId="0717740E" w:rsidR="00050E52" w:rsidRPr="00CC3978" w:rsidRDefault="000679A5" w:rsidP="00050E52">
            <w:pPr>
              <w:pStyle w:val="Answer"/>
              <w:ind w:right="-108"/>
              <w:rPr>
                <w:rFonts w:ascii="Verdana" w:hAnsi="Verdana" w:cs="Arial"/>
                <w:sz w:val="20"/>
                <w:lang w:val="en-GB" w:eastAsia="en-GB"/>
              </w:rPr>
            </w:pPr>
            <w:r w:rsidRPr="00CC3978">
              <w:rPr>
                <w:rFonts w:ascii="Verdana" w:hAnsi="Verdana" w:cs="Arial"/>
                <w:sz w:val="20"/>
                <w:lang w:val="en-GB" w:eastAsia="en-GB"/>
              </w:rPr>
              <w:t>TM</w:t>
            </w:r>
            <w:r w:rsidR="00050E52" w:rsidRPr="00CC3978">
              <w:rPr>
                <w:rFonts w:ascii="Verdana" w:hAnsi="Verdana" w:cs="Arial"/>
                <w:sz w:val="20"/>
                <w:lang w:val="en-GB" w:eastAsia="en-GB"/>
              </w:rPr>
              <w:t xml:space="preserve"> </w:t>
            </w:r>
            <w:r w:rsidR="004C20F7" w:rsidRPr="00CC3978">
              <w:rPr>
                <w:rFonts w:ascii="Verdana" w:hAnsi="Verdana" w:cs="Arial"/>
                <w:sz w:val="20"/>
                <w:lang w:val="en-GB" w:eastAsia="en-GB"/>
              </w:rPr>
              <w:t xml:space="preserve">Natixis </w:t>
            </w:r>
            <w:r w:rsidR="00050E52" w:rsidRPr="00CC3978">
              <w:rPr>
                <w:rFonts w:ascii="Verdana" w:hAnsi="Verdana" w:cs="Arial"/>
                <w:sz w:val="20"/>
                <w:lang w:val="en-GB" w:eastAsia="en-GB"/>
              </w:rPr>
              <w:t>Mirova Global Sustainable Equity Fund</w:t>
            </w:r>
          </w:p>
        </w:tc>
      </w:tr>
      <w:tr w:rsidR="0032725A" w:rsidRPr="00CC3978" w14:paraId="5E08BD96" w14:textId="201CAE43" w:rsidTr="006D702E">
        <w:tc>
          <w:tcPr>
            <w:tcW w:w="4208" w:type="dxa"/>
            <w:shd w:val="clear" w:color="auto" w:fill="auto"/>
          </w:tcPr>
          <w:p w14:paraId="4E7149C1" w14:textId="29BBC238" w:rsidR="0032725A" w:rsidRPr="00CC3978" w:rsidRDefault="0032725A" w:rsidP="00050E52">
            <w:pPr>
              <w:pStyle w:val="Answer"/>
              <w:ind w:right="-108"/>
              <w:rPr>
                <w:rFonts w:ascii="Verdana" w:hAnsi="Verdana"/>
                <w:sz w:val="20"/>
                <w:lang w:val="en-GB"/>
              </w:rPr>
            </w:pPr>
            <w:r w:rsidRPr="00CC3978">
              <w:rPr>
                <w:rFonts w:ascii="Verdana" w:hAnsi="Verdana"/>
                <w:sz w:val="20"/>
                <w:lang w:val="en-GB"/>
              </w:rPr>
              <w:t>H2O MultiReturns Fund</w:t>
            </w:r>
            <w:r w:rsidR="00F864F6" w:rsidRPr="00CC3978">
              <w:rPr>
                <w:rFonts w:ascii="Verdana" w:hAnsi="Verdana"/>
                <w:sz w:val="20"/>
                <w:lang w:val="en-GB"/>
              </w:rPr>
              <w:t>*</w:t>
            </w:r>
          </w:p>
        </w:tc>
        <w:tc>
          <w:tcPr>
            <w:tcW w:w="4208" w:type="dxa"/>
            <w:shd w:val="clear" w:color="auto" w:fill="auto"/>
          </w:tcPr>
          <w:p w14:paraId="6B274ED9" w14:textId="42E97E8F" w:rsidR="0032725A" w:rsidRPr="00CC3978" w:rsidRDefault="00892C99" w:rsidP="00050E52">
            <w:pPr>
              <w:pStyle w:val="Answer"/>
              <w:ind w:right="-108"/>
              <w:rPr>
                <w:rFonts w:ascii="Verdana" w:hAnsi="Verdana" w:cs="Arial"/>
                <w:sz w:val="20"/>
                <w:lang w:val="en-GB" w:eastAsia="en-GB"/>
              </w:rPr>
            </w:pPr>
            <w:r w:rsidRPr="00CC3978">
              <w:rPr>
                <w:rFonts w:ascii="Verdana" w:hAnsi="Verdana" w:cs="Arial"/>
                <w:sz w:val="20"/>
                <w:lang w:val="en-GB" w:eastAsia="en-GB"/>
              </w:rPr>
              <w:t xml:space="preserve">TM </w:t>
            </w:r>
            <w:r w:rsidR="0032725A" w:rsidRPr="00CC3978">
              <w:rPr>
                <w:rFonts w:ascii="Verdana" w:hAnsi="Verdana" w:cs="Arial"/>
                <w:sz w:val="20"/>
                <w:lang w:val="en-GB" w:eastAsia="en-GB"/>
              </w:rPr>
              <w:t>H2O MultiReturns Fund</w:t>
            </w:r>
          </w:p>
        </w:tc>
      </w:tr>
      <w:tr w:rsidR="00F864F6" w:rsidRPr="00CC3978" w14:paraId="71B99368" w14:textId="77777777" w:rsidTr="006D702E">
        <w:tc>
          <w:tcPr>
            <w:tcW w:w="4208" w:type="dxa"/>
            <w:shd w:val="clear" w:color="auto" w:fill="auto"/>
          </w:tcPr>
          <w:p w14:paraId="428605A5" w14:textId="5C8CE39C" w:rsidR="00F864F6" w:rsidRPr="00CC3978" w:rsidRDefault="00F864F6" w:rsidP="00525847">
            <w:pPr>
              <w:pStyle w:val="ListBullet"/>
              <w:numPr>
                <w:ilvl w:val="0"/>
                <w:numId w:val="0"/>
              </w:numPr>
              <w:ind w:left="360" w:hanging="360"/>
              <w:rPr>
                <w:rFonts w:ascii="Verdana" w:hAnsi="Verdana"/>
              </w:rPr>
            </w:pPr>
            <w:r w:rsidRPr="00CC3978">
              <w:rPr>
                <w:rFonts w:ascii="Verdana" w:hAnsi="Verdana"/>
              </w:rPr>
              <w:t>Loomis Sayles Strategic Income Fund *</w:t>
            </w:r>
          </w:p>
        </w:tc>
        <w:tc>
          <w:tcPr>
            <w:tcW w:w="4208" w:type="dxa"/>
            <w:shd w:val="clear" w:color="auto" w:fill="auto"/>
          </w:tcPr>
          <w:p w14:paraId="2A935892" w14:textId="545E8E15" w:rsidR="00F864F6" w:rsidRPr="00CC3978" w:rsidRDefault="00892C99" w:rsidP="00050E52">
            <w:pPr>
              <w:pStyle w:val="Answer"/>
              <w:ind w:right="-108"/>
              <w:rPr>
                <w:rFonts w:ascii="Verdana" w:hAnsi="Verdana" w:cs="Arial"/>
                <w:sz w:val="20"/>
                <w:lang w:val="en-GB" w:eastAsia="en-GB"/>
              </w:rPr>
            </w:pPr>
            <w:r w:rsidRPr="00CC3978">
              <w:rPr>
                <w:rFonts w:ascii="Verdana" w:hAnsi="Verdana"/>
                <w:sz w:val="20"/>
                <w:lang w:val="en-GB"/>
              </w:rPr>
              <w:t xml:space="preserve">TM </w:t>
            </w:r>
            <w:r w:rsidR="00EA60E1">
              <w:rPr>
                <w:rFonts w:ascii="Verdana" w:hAnsi="Verdana"/>
                <w:sz w:val="20"/>
                <w:lang w:val="en-GB"/>
              </w:rPr>
              <w:t xml:space="preserve">Natixis </w:t>
            </w:r>
            <w:r w:rsidR="00F864F6" w:rsidRPr="00CC3978">
              <w:rPr>
                <w:rFonts w:ascii="Verdana" w:hAnsi="Verdana"/>
                <w:sz w:val="20"/>
              </w:rPr>
              <w:t>Loomis Sayles Strategic Income Fund</w:t>
            </w:r>
          </w:p>
        </w:tc>
      </w:tr>
    </w:tbl>
    <w:p w14:paraId="2149EAAF" w14:textId="623D8514" w:rsidR="009D3667" w:rsidRPr="00CC3978" w:rsidRDefault="009D3667" w:rsidP="009D3667">
      <w:pPr>
        <w:rPr>
          <w:rFonts w:ascii="Verdana" w:hAnsi="Verdana"/>
        </w:rPr>
      </w:pPr>
    </w:p>
    <w:p w14:paraId="794BC972" w14:textId="13169C8F" w:rsidR="006A744B" w:rsidRPr="00CC3978" w:rsidRDefault="00F864F6" w:rsidP="006A744B">
      <w:pPr>
        <w:ind w:right="-108"/>
        <w:rPr>
          <w:rFonts w:ascii="Verdana" w:hAnsi="Verdana" w:cs="Arial"/>
          <w:sz w:val="18"/>
          <w:szCs w:val="18"/>
        </w:rPr>
      </w:pPr>
      <w:r w:rsidRPr="00CC3978">
        <w:rPr>
          <w:rFonts w:ascii="Verdana" w:hAnsi="Verdana"/>
        </w:rPr>
        <w:t xml:space="preserve">*These </w:t>
      </w:r>
      <w:r w:rsidR="00C22072" w:rsidRPr="00CC3978">
        <w:rPr>
          <w:rFonts w:ascii="Verdana" w:hAnsi="Verdana"/>
        </w:rPr>
        <w:t>Sub-F</w:t>
      </w:r>
      <w:r w:rsidRPr="00CC3978">
        <w:rPr>
          <w:rFonts w:ascii="Verdana" w:hAnsi="Verdana"/>
        </w:rPr>
        <w:t xml:space="preserve">unds have </w:t>
      </w:r>
      <w:r w:rsidR="00B908D0" w:rsidRPr="00CC3978">
        <w:rPr>
          <w:rFonts w:ascii="Verdana" w:hAnsi="Verdana"/>
        </w:rPr>
        <w:t xml:space="preserve">commenced </w:t>
      </w:r>
      <w:r w:rsidRPr="00CC3978">
        <w:rPr>
          <w:rFonts w:ascii="Verdana" w:hAnsi="Verdana"/>
        </w:rPr>
        <w:t>terminat</w:t>
      </w:r>
      <w:r w:rsidR="00B908D0" w:rsidRPr="00CC3978">
        <w:rPr>
          <w:rFonts w:ascii="Verdana" w:hAnsi="Verdana"/>
        </w:rPr>
        <w:t>ion</w:t>
      </w:r>
      <w:r w:rsidRPr="00CC3978">
        <w:rPr>
          <w:rFonts w:ascii="Verdana" w:hAnsi="Verdana"/>
        </w:rPr>
        <w:t xml:space="preserve"> and may be removed from the FCA Register </w:t>
      </w:r>
      <w:r w:rsidR="009262AD" w:rsidRPr="00CC3978">
        <w:rPr>
          <w:rFonts w:ascii="Verdana" w:hAnsi="Verdana"/>
        </w:rPr>
        <w:t xml:space="preserve">once the termination has been completed </w:t>
      </w:r>
      <w:r w:rsidRPr="00CC3978">
        <w:rPr>
          <w:rFonts w:ascii="Verdana" w:hAnsi="Verdana"/>
        </w:rPr>
        <w:t xml:space="preserve">and </w:t>
      </w:r>
      <w:r w:rsidR="000972A6">
        <w:rPr>
          <w:rFonts w:ascii="Verdana" w:hAnsi="Verdana"/>
        </w:rPr>
        <w:t xml:space="preserve">will </w:t>
      </w:r>
      <w:r w:rsidRPr="00CC3978">
        <w:rPr>
          <w:rFonts w:ascii="Verdana" w:hAnsi="Verdana"/>
        </w:rPr>
        <w:t>no longer appear in the prospectus.</w:t>
      </w:r>
      <w:r w:rsidR="006A744B" w:rsidRPr="00CC3978">
        <w:rPr>
          <w:rFonts w:ascii="Verdana" w:hAnsi="Verdana" w:cs="Arial"/>
          <w:sz w:val="18"/>
          <w:szCs w:val="18"/>
        </w:rPr>
        <w:t xml:space="preserve"> </w:t>
      </w:r>
    </w:p>
    <w:p w14:paraId="67FC32AD" w14:textId="2B22CA9E" w:rsidR="00F864F6" w:rsidRDefault="00F864F6" w:rsidP="00F93B91">
      <w:pPr>
        <w:rPr>
          <w:rFonts w:ascii="Verdana" w:hAnsi="Verdana"/>
        </w:rPr>
      </w:pPr>
    </w:p>
    <w:p w14:paraId="38306375" w14:textId="142999DD" w:rsidR="009D3667" w:rsidRPr="00CC3978" w:rsidRDefault="009D3667" w:rsidP="00142120">
      <w:pPr>
        <w:pStyle w:val="Level2"/>
        <w:numPr>
          <w:ilvl w:val="0"/>
          <w:numId w:val="24"/>
        </w:numPr>
        <w:spacing w:after="240" w:line="312" w:lineRule="auto"/>
        <w:rPr>
          <w:rFonts w:ascii="Verdana" w:hAnsi="Verdana"/>
        </w:rPr>
      </w:pPr>
      <w:r w:rsidRPr="00CC3978">
        <w:rPr>
          <w:rFonts w:ascii="Verdana" w:hAnsi="Verdana"/>
          <w:b/>
        </w:rPr>
        <w:t>Change of Head Office of the Company</w:t>
      </w:r>
    </w:p>
    <w:p w14:paraId="3364438A" w14:textId="11D2BE8F" w:rsidR="009D3667" w:rsidRPr="00CC3978" w:rsidRDefault="009D3667" w:rsidP="009D3667">
      <w:pPr>
        <w:pStyle w:val="Level2"/>
        <w:numPr>
          <w:ilvl w:val="0"/>
          <w:numId w:val="0"/>
        </w:numPr>
        <w:rPr>
          <w:rFonts w:ascii="Verdana" w:hAnsi="Verdana"/>
        </w:rPr>
      </w:pPr>
      <w:r w:rsidRPr="00CC3978">
        <w:rPr>
          <w:rFonts w:ascii="Verdana" w:hAnsi="Verdana"/>
        </w:rPr>
        <w:t>From the Effective Date, the Head Office of the Company will change to</w:t>
      </w:r>
      <w:r w:rsidR="00806F99" w:rsidRPr="00CC3978">
        <w:rPr>
          <w:rFonts w:ascii="Verdana" w:hAnsi="Verdana"/>
        </w:rPr>
        <w:t xml:space="preserve"> </w:t>
      </w:r>
      <w:r w:rsidR="006419AC" w:rsidRPr="00CC3978">
        <w:rPr>
          <w:rStyle w:val="cf01"/>
          <w:rFonts w:ascii="Verdana" w:hAnsi="Verdana"/>
          <w:sz w:val="20"/>
          <w:szCs w:val="20"/>
        </w:rPr>
        <w:t>Exchange Building, St John’s Street, Chichester, West Sussex, PO19 1UP</w:t>
      </w:r>
      <w:r w:rsidRPr="00CC3978">
        <w:rPr>
          <w:rFonts w:ascii="Verdana" w:hAnsi="Verdana"/>
        </w:rPr>
        <w:t xml:space="preserve">. Thereafter, if you have any complaints about  the Company these should in the first instance be referred to the compliance officer of </w:t>
      </w:r>
      <w:r w:rsidR="00A1468B" w:rsidRPr="00CC3978">
        <w:rPr>
          <w:rFonts w:ascii="Verdana" w:hAnsi="Verdana"/>
        </w:rPr>
        <w:t>Tutman</w:t>
      </w:r>
      <w:r w:rsidRPr="00CC3978">
        <w:rPr>
          <w:rFonts w:ascii="Verdana" w:hAnsi="Verdana"/>
        </w:rPr>
        <w:t xml:space="preserve"> at the above address.  </w:t>
      </w:r>
    </w:p>
    <w:p w14:paraId="07E5B1C8" w14:textId="77777777" w:rsidR="009F0476" w:rsidRPr="00CC3978" w:rsidRDefault="009F0476" w:rsidP="00142120">
      <w:pPr>
        <w:pStyle w:val="Level2"/>
        <w:numPr>
          <w:ilvl w:val="0"/>
          <w:numId w:val="24"/>
        </w:numPr>
        <w:rPr>
          <w:rFonts w:ascii="Verdana" w:hAnsi="Verdana"/>
          <w:b/>
        </w:rPr>
      </w:pPr>
      <w:r w:rsidRPr="00CC3978">
        <w:rPr>
          <w:rFonts w:ascii="Verdana" w:hAnsi="Verdana"/>
          <w:b/>
        </w:rPr>
        <w:t>Fees and expenses</w:t>
      </w:r>
    </w:p>
    <w:p w14:paraId="11E1FADC" w14:textId="77777777" w:rsidR="009F0476" w:rsidRPr="00CC3978" w:rsidRDefault="009F0476" w:rsidP="009F0476">
      <w:pPr>
        <w:pStyle w:val="Level2"/>
        <w:numPr>
          <w:ilvl w:val="0"/>
          <w:numId w:val="0"/>
        </w:numPr>
        <w:rPr>
          <w:rFonts w:ascii="Verdana" w:hAnsi="Verdana"/>
          <w:b/>
        </w:rPr>
      </w:pPr>
      <w:r w:rsidRPr="00CC3978">
        <w:rPr>
          <w:rFonts w:ascii="Verdana" w:hAnsi="Verdana"/>
        </w:rPr>
        <w:t>The way that Tutman charges fees for the Funds is different to the way we currently take our fees but this won’t mean you have to pay any more fees when Tutman takes over.</w:t>
      </w:r>
      <w:r w:rsidRPr="00CC3978">
        <w:rPr>
          <w:rFonts w:ascii="Verdana" w:hAnsi="Verdana"/>
          <w:b/>
        </w:rPr>
        <w:t xml:space="preserve">  </w:t>
      </w:r>
    </w:p>
    <w:p w14:paraId="25617C0D" w14:textId="6CEF19A0" w:rsidR="009F0476" w:rsidRPr="00CC3978" w:rsidRDefault="009F0476" w:rsidP="009F0476">
      <w:pPr>
        <w:pStyle w:val="Level2"/>
        <w:numPr>
          <w:ilvl w:val="0"/>
          <w:numId w:val="0"/>
        </w:numPr>
        <w:rPr>
          <w:rFonts w:ascii="Verdana" w:hAnsi="Verdana"/>
          <w:b/>
        </w:rPr>
      </w:pPr>
      <w:r w:rsidRPr="00CC3978">
        <w:rPr>
          <w:rFonts w:ascii="Verdana" w:hAnsi="Verdana"/>
        </w:rPr>
        <w:t xml:space="preserve">Currently, we make a single charge known as the  </w:t>
      </w:r>
      <w:r w:rsidRPr="00CC3978">
        <w:rPr>
          <w:rStyle w:val="ui-provider"/>
          <w:rFonts w:ascii="Verdana" w:hAnsi="Verdana"/>
        </w:rPr>
        <w:t xml:space="preserve">Ongoing Charges Ratio.  The Ongoing Charges Ratio is a single fee which is paid out of the Company and out of which we pay our own fees and the fees of </w:t>
      </w:r>
      <w:r w:rsidR="005131AE">
        <w:rPr>
          <w:rStyle w:val="ui-provider"/>
          <w:rFonts w:ascii="Verdana" w:hAnsi="Verdana"/>
        </w:rPr>
        <w:t>the firms</w:t>
      </w:r>
      <w:r w:rsidRPr="00CC3978">
        <w:rPr>
          <w:rStyle w:val="ui-provider"/>
          <w:rFonts w:ascii="Verdana" w:hAnsi="Verdana"/>
        </w:rPr>
        <w:t xml:space="preserve"> who provide services to the Company</w:t>
      </w:r>
      <w:r w:rsidR="009262AD" w:rsidRPr="00CC3978">
        <w:rPr>
          <w:rStyle w:val="ui-provider"/>
          <w:rFonts w:ascii="Verdana" w:hAnsi="Verdana"/>
        </w:rPr>
        <w:t>,</w:t>
      </w:r>
      <w:r w:rsidRPr="00CC3978">
        <w:rPr>
          <w:rStyle w:val="ui-provider"/>
          <w:rFonts w:ascii="Verdana" w:hAnsi="Verdana"/>
        </w:rPr>
        <w:t xml:space="preserve"> such as the depositary and the administrator.  This fee also includes all the </w:t>
      </w:r>
      <w:r w:rsidRPr="00CC3978">
        <w:rPr>
          <w:rStyle w:val="ui-provider"/>
          <w:rFonts w:ascii="Verdana" w:hAnsi="Verdana"/>
        </w:rPr>
        <w:lastRenderedPageBreak/>
        <w:t>administrative costs that we have to pay in managing the Company, for example, printing costs and getting insurance.  Tutman splits fees into two types: a fixed management fee (which is the fee Tutman make for being the</w:t>
      </w:r>
      <w:r w:rsidR="00835901" w:rsidRPr="00CC3978">
        <w:rPr>
          <w:rStyle w:val="ui-provider"/>
          <w:rFonts w:ascii="Verdana" w:hAnsi="Verdana"/>
        </w:rPr>
        <w:t xml:space="preserve"> ACD</w:t>
      </w:r>
      <w:r w:rsidRPr="00CC3978">
        <w:rPr>
          <w:rStyle w:val="ui-provider"/>
          <w:rFonts w:ascii="Verdana" w:hAnsi="Verdana"/>
        </w:rPr>
        <w:t xml:space="preserve">) and a fee which covers </w:t>
      </w:r>
      <w:r w:rsidR="000F7560" w:rsidRPr="00CC3978">
        <w:rPr>
          <w:rStyle w:val="ui-provider"/>
          <w:rFonts w:ascii="Verdana" w:hAnsi="Verdana"/>
        </w:rPr>
        <w:t>O</w:t>
      </w:r>
      <w:r w:rsidRPr="00CC3978">
        <w:rPr>
          <w:rStyle w:val="ui-provider"/>
          <w:rFonts w:ascii="Verdana" w:hAnsi="Verdana"/>
        </w:rPr>
        <w:t xml:space="preserve">perating </w:t>
      </w:r>
      <w:r w:rsidR="000F7560" w:rsidRPr="00CC3978">
        <w:rPr>
          <w:rStyle w:val="ui-provider"/>
          <w:rFonts w:ascii="Verdana" w:hAnsi="Verdana"/>
        </w:rPr>
        <w:t>E</w:t>
      </w:r>
      <w:r w:rsidRPr="00CC3978">
        <w:rPr>
          <w:rStyle w:val="ui-provider"/>
          <w:rFonts w:ascii="Verdana" w:hAnsi="Verdana"/>
        </w:rPr>
        <w:t>xpenses – that is the day to day expenses of running the Company.</w:t>
      </w:r>
      <w:r w:rsidRPr="00CC3978">
        <w:rPr>
          <w:rStyle w:val="ui-provider"/>
          <w:rFonts w:ascii="Verdana" w:hAnsi="Verdana"/>
          <w:szCs w:val="18"/>
        </w:rPr>
        <w:t xml:space="preserve"> The Operating Expenses and Management Fees combined won’t be more than you currently pay for any share class.    </w:t>
      </w:r>
    </w:p>
    <w:p w14:paraId="015A0092" w14:textId="464C4E18" w:rsidR="00501237" w:rsidRPr="00CC3978" w:rsidRDefault="00501237" w:rsidP="00142120">
      <w:pPr>
        <w:pStyle w:val="Level2"/>
        <w:numPr>
          <w:ilvl w:val="0"/>
          <w:numId w:val="24"/>
        </w:numPr>
        <w:spacing w:after="240" w:line="312" w:lineRule="auto"/>
        <w:rPr>
          <w:rFonts w:ascii="Verdana" w:hAnsi="Verdana"/>
          <w:b/>
        </w:rPr>
      </w:pPr>
      <w:r w:rsidRPr="00CC3978">
        <w:rPr>
          <w:rFonts w:ascii="Verdana" w:hAnsi="Verdana"/>
          <w:b/>
        </w:rPr>
        <w:t>New Investment Manager</w:t>
      </w:r>
    </w:p>
    <w:p w14:paraId="785CC28F" w14:textId="4E7361E3" w:rsidR="00501237" w:rsidRPr="00CC3978" w:rsidRDefault="00501237" w:rsidP="004550FC">
      <w:pPr>
        <w:pStyle w:val="Level2"/>
        <w:numPr>
          <w:ilvl w:val="0"/>
          <w:numId w:val="0"/>
        </w:numPr>
        <w:rPr>
          <w:rFonts w:ascii="Verdana" w:hAnsi="Verdana"/>
          <w:b/>
        </w:rPr>
      </w:pPr>
      <w:r w:rsidRPr="00FB1967">
        <w:rPr>
          <w:rFonts w:ascii="Verdana" w:hAnsi="Verdana"/>
        </w:rPr>
        <w:t xml:space="preserve">Natixis Investment Managers International will be appointed as investment manager </w:t>
      </w:r>
      <w:r w:rsidR="00330BDA" w:rsidRPr="00FB1967">
        <w:rPr>
          <w:rFonts w:ascii="Verdana" w:hAnsi="Verdana"/>
        </w:rPr>
        <w:t xml:space="preserve">by Tutman </w:t>
      </w:r>
      <w:r w:rsidRPr="00FB1967">
        <w:rPr>
          <w:rFonts w:ascii="Verdana" w:hAnsi="Verdana"/>
        </w:rPr>
        <w:t xml:space="preserve">and </w:t>
      </w:r>
      <w:r w:rsidR="00B6569C" w:rsidRPr="00FB1967">
        <w:rPr>
          <w:rFonts w:ascii="Verdana" w:hAnsi="Verdana"/>
        </w:rPr>
        <w:t xml:space="preserve">Natixis Investment Managers International </w:t>
      </w:r>
      <w:r w:rsidRPr="00FB1967">
        <w:rPr>
          <w:rFonts w:ascii="Verdana" w:hAnsi="Verdana"/>
        </w:rPr>
        <w:t>shall sub-delegate to Harris Associates L.P., Loomis, Sayles &amp; Company, L.P.</w:t>
      </w:r>
      <w:r w:rsidR="004C15E7" w:rsidRPr="00FB1967">
        <w:rPr>
          <w:rFonts w:ascii="Verdana" w:hAnsi="Verdana"/>
        </w:rPr>
        <w:t>,</w:t>
      </w:r>
      <w:r w:rsidRPr="00FB1967">
        <w:rPr>
          <w:rFonts w:ascii="Verdana" w:hAnsi="Verdana"/>
        </w:rPr>
        <w:t xml:space="preserve"> </w:t>
      </w:r>
      <w:r w:rsidR="007A3B13" w:rsidRPr="00FB1967">
        <w:rPr>
          <w:rFonts w:ascii="Verdana" w:hAnsi="Verdana"/>
        </w:rPr>
        <w:t xml:space="preserve">H2O </w:t>
      </w:r>
      <w:r w:rsidR="004C15E7" w:rsidRPr="00FB1967">
        <w:rPr>
          <w:rFonts w:ascii="Verdana" w:hAnsi="Verdana"/>
        </w:rPr>
        <w:t xml:space="preserve">AM LLP, </w:t>
      </w:r>
      <w:r w:rsidRPr="00FB1967">
        <w:rPr>
          <w:rFonts w:ascii="Verdana" w:hAnsi="Verdana"/>
        </w:rPr>
        <w:t>and Mirova US LLC, who act as investment managers</w:t>
      </w:r>
      <w:r w:rsidRPr="00CC3978">
        <w:rPr>
          <w:rFonts w:ascii="Verdana" w:hAnsi="Verdana"/>
        </w:rPr>
        <w:t xml:space="preserve"> currently.  </w:t>
      </w:r>
    </w:p>
    <w:p w14:paraId="287FDC47" w14:textId="7097CD8A" w:rsidR="009D3667" w:rsidRPr="00CC3978" w:rsidRDefault="009D3667" w:rsidP="00142120">
      <w:pPr>
        <w:pStyle w:val="Level2"/>
        <w:numPr>
          <w:ilvl w:val="0"/>
          <w:numId w:val="24"/>
        </w:numPr>
        <w:spacing w:after="240" w:line="312" w:lineRule="auto"/>
        <w:rPr>
          <w:rFonts w:ascii="Verdana" w:hAnsi="Verdana"/>
          <w:b/>
        </w:rPr>
      </w:pPr>
      <w:r w:rsidRPr="00CC3978">
        <w:rPr>
          <w:rFonts w:ascii="Verdana" w:hAnsi="Verdana"/>
          <w:b/>
        </w:rPr>
        <w:t>Publication of share prices</w:t>
      </w:r>
    </w:p>
    <w:p w14:paraId="4C324CC9" w14:textId="4E6982DD" w:rsidR="009D3667" w:rsidRPr="00CC3978" w:rsidRDefault="009D3667" w:rsidP="009D3667">
      <w:pPr>
        <w:pStyle w:val="Level2"/>
        <w:numPr>
          <w:ilvl w:val="0"/>
          <w:numId w:val="0"/>
        </w:numPr>
      </w:pPr>
      <w:r w:rsidRPr="00CC3978">
        <w:rPr>
          <w:rFonts w:ascii="Verdana" w:hAnsi="Verdana"/>
        </w:rPr>
        <w:t xml:space="preserve">From the Effective Date, the prices of Shares will no longer be </w:t>
      </w:r>
      <w:r w:rsidR="00A133E7" w:rsidRPr="00CC3978">
        <w:rPr>
          <w:rFonts w:ascii="Verdana" w:hAnsi="Verdana"/>
        </w:rPr>
        <w:t>published in the Financial Times. The prices will instead be available</w:t>
      </w:r>
      <w:r w:rsidR="00CD5B7A" w:rsidRPr="00CC3978">
        <w:t xml:space="preserve"> </w:t>
      </w:r>
      <w:r w:rsidR="00CD5B7A" w:rsidRPr="00CC3978">
        <w:rPr>
          <w:rFonts w:ascii="Verdana" w:hAnsi="Verdana"/>
        </w:rPr>
        <w:t xml:space="preserve">on the Trustnet website at </w:t>
      </w:r>
      <w:hyperlink r:id="rId11" w:history="1">
        <w:r w:rsidR="00501237" w:rsidRPr="00CC3978">
          <w:rPr>
            <w:rStyle w:val="Hyperlink"/>
            <w:rFonts w:ascii="Verdana" w:hAnsi="Verdana"/>
          </w:rPr>
          <w:t>www.trustnet.com</w:t>
        </w:r>
      </w:hyperlink>
      <w:r w:rsidR="00CD5B7A" w:rsidRPr="00CC3978">
        <w:rPr>
          <w:rFonts w:ascii="Verdana" w:hAnsi="Verdana"/>
        </w:rPr>
        <w:t xml:space="preserve"> and can also be obtained by telephone on</w:t>
      </w:r>
      <w:r w:rsidR="00142120">
        <w:rPr>
          <w:rFonts w:ascii="Verdana" w:hAnsi="Verdana"/>
        </w:rPr>
        <w:t xml:space="preserve"> </w:t>
      </w:r>
      <w:r w:rsidR="00074360" w:rsidRPr="00CC3978">
        <w:rPr>
          <w:rFonts w:ascii="Verdana" w:hAnsi="Verdana"/>
        </w:rPr>
        <w:t>01483 783 900</w:t>
      </w:r>
      <w:r w:rsidR="00CD5B7A" w:rsidRPr="00CC3978">
        <w:rPr>
          <w:rFonts w:ascii="Verdana" w:hAnsi="Verdana"/>
        </w:rPr>
        <w:t xml:space="preserve">. </w:t>
      </w:r>
    </w:p>
    <w:p w14:paraId="102E12CC" w14:textId="40F92D93" w:rsidR="005D634A" w:rsidRPr="00CC3978" w:rsidRDefault="005D634A" w:rsidP="00142120">
      <w:pPr>
        <w:pStyle w:val="Level1"/>
        <w:numPr>
          <w:ilvl w:val="0"/>
          <w:numId w:val="24"/>
        </w:numPr>
        <w:spacing w:after="240"/>
        <w:rPr>
          <w:rFonts w:ascii="Verdana" w:hAnsi="Verdana"/>
          <w:b/>
        </w:rPr>
      </w:pPr>
      <w:r w:rsidRPr="00CC3978">
        <w:rPr>
          <w:rFonts w:ascii="Verdana" w:hAnsi="Verdana"/>
          <w:b/>
        </w:rPr>
        <w:t>Mandatory conversion</w:t>
      </w:r>
    </w:p>
    <w:p w14:paraId="4192C678" w14:textId="29517D66" w:rsidR="005D634A" w:rsidRPr="00CC3978" w:rsidRDefault="005D634A" w:rsidP="005D634A">
      <w:pPr>
        <w:rPr>
          <w:rFonts w:ascii="Verdana" w:hAnsi="Verdana"/>
        </w:rPr>
      </w:pPr>
      <w:r w:rsidRPr="00CC3978">
        <w:rPr>
          <w:rFonts w:ascii="Verdana" w:hAnsi="Verdana"/>
        </w:rPr>
        <w:t xml:space="preserve">The </w:t>
      </w:r>
      <w:r w:rsidR="00AD3AB8" w:rsidRPr="00CC3978">
        <w:rPr>
          <w:rFonts w:ascii="Verdana" w:hAnsi="Verdana"/>
        </w:rPr>
        <w:t>p</w:t>
      </w:r>
      <w:r w:rsidRPr="00CC3978">
        <w:rPr>
          <w:rFonts w:ascii="Verdana" w:hAnsi="Verdana"/>
        </w:rPr>
        <w:t xml:space="preserve">rospectus of the Company will also be updated on the Effective Date to enable the ACD to undertake mandatory conversion of shares in a Sub-Fund, where such a conversion is reasonably expected to be in the best interests of the shareholders in that Sub-Fund. This wording is being included to reflect existing regulatory requirements relating to mandatory conversion as well as guidance from the FCA. This wording is </w:t>
      </w:r>
      <w:r w:rsidR="00A1468B" w:rsidRPr="00CC3978">
        <w:rPr>
          <w:rFonts w:ascii="Verdana" w:hAnsi="Verdana"/>
        </w:rPr>
        <w:t>Tutman</w:t>
      </w:r>
      <w:r w:rsidRPr="00CC3978">
        <w:rPr>
          <w:rFonts w:ascii="Verdana" w:hAnsi="Verdana"/>
        </w:rPr>
        <w:t>’s standard wording that is applied across its fund range.</w:t>
      </w:r>
    </w:p>
    <w:p w14:paraId="36D4C83B" w14:textId="77777777" w:rsidR="005D634A" w:rsidRPr="00CC3978" w:rsidRDefault="005D634A" w:rsidP="005D634A">
      <w:pPr>
        <w:rPr>
          <w:rFonts w:ascii="Verdana" w:hAnsi="Verdana"/>
        </w:rPr>
      </w:pPr>
    </w:p>
    <w:p w14:paraId="1C1242B9" w14:textId="77777777" w:rsidR="005D634A" w:rsidRPr="00CC3978" w:rsidRDefault="005D634A" w:rsidP="005D634A">
      <w:pPr>
        <w:rPr>
          <w:rFonts w:ascii="Verdana" w:hAnsi="Verdana"/>
          <w:i/>
        </w:rPr>
      </w:pPr>
      <w:r w:rsidRPr="00CC3978">
        <w:rPr>
          <w:rFonts w:ascii="Verdana" w:hAnsi="Verdana"/>
          <w:i/>
        </w:rPr>
        <w:t xml:space="preserve">“The ACD may also, in its sole discretion, convert all of an existing class of Shares (the “Old Class Shares”) in a Fund to new class of Shares (the “New Class Shares”) in the same Fund (so that there is a reorganisation of the Shares in the Fund in which all Shareholders holding Old Class Shares exchange their Shares for New Class Shares in the Fund), provided that the conversion is reasonably expected to be in the best interests of the Shareholders of the Old Class Shares. The ACD will provide all of the Shareholders of the Old Class Shares with 60 days’ prior notice of any such conversion. </w:t>
      </w:r>
    </w:p>
    <w:p w14:paraId="03966B08" w14:textId="77777777" w:rsidR="005D634A" w:rsidRPr="00CC3978" w:rsidRDefault="005D634A" w:rsidP="005D634A">
      <w:pPr>
        <w:rPr>
          <w:rFonts w:ascii="Verdana" w:hAnsi="Verdana"/>
          <w:i/>
        </w:rPr>
      </w:pPr>
    </w:p>
    <w:p w14:paraId="3C94D1BF" w14:textId="77777777" w:rsidR="005D634A" w:rsidRPr="00CC3978" w:rsidRDefault="005D634A" w:rsidP="005D634A">
      <w:pPr>
        <w:rPr>
          <w:rFonts w:ascii="Verdana" w:hAnsi="Verdana"/>
          <w:i/>
        </w:rPr>
      </w:pPr>
      <w:r w:rsidRPr="00CC3978">
        <w:rPr>
          <w:rFonts w:ascii="Verdana" w:hAnsi="Verdana"/>
          <w:i/>
        </w:rPr>
        <w:t>Please note that, under current tax law, a reorganisation of the Shares in the Fund (in which all the Shareholders holding Shares in a class of Shares in the Fund exchange all their Shares for Shares of a different class in the same Fund) will generally not be treated as a disposal for capital gains tax purposes. Shareholders who are in any doubt as to their tax treatment in respect of any conversion of Shares should seek their own professional advice.”</w:t>
      </w:r>
    </w:p>
    <w:p w14:paraId="325629C2" w14:textId="77777777" w:rsidR="005D634A" w:rsidRPr="00CC3978" w:rsidRDefault="005D634A" w:rsidP="005D634A">
      <w:pPr>
        <w:pStyle w:val="Level1"/>
        <w:numPr>
          <w:ilvl w:val="0"/>
          <w:numId w:val="0"/>
        </w:numPr>
        <w:spacing w:after="240"/>
        <w:ind w:left="720" w:hanging="720"/>
        <w:rPr>
          <w:rFonts w:ascii="Verdana" w:hAnsi="Verdana"/>
          <w:b/>
        </w:rPr>
      </w:pPr>
    </w:p>
    <w:p w14:paraId="58F14F2F" w14:textId="77777777" w:rsidR="00134161" w:rsidRPr="00CC3978" w:rsidRDefault="00E1254F" w:rsidP="00142120">
      <w:pPr>
        <w:pStyle w:val="Level1"/>
        <w:numPr>
          <w:ilvl w:val="0"/>
          <w:numId w:val="24"/>
        </w:numPr>
        <w:spacing w:after="240"/>
        <w:rPr>
          <w:rFonts w:ascii="Verdana" w:hAnsi="Verdana"/>
          <w:b/>
        </w:rPr>
      </w:pPr>
      <w:r w:rsidRPr="00CC3978">
        <w:rPr>
          <w:rFonts w:ascii="Verdana" w:hAnsi="Verdana"/>
          <w:b/>
        </w:rPr>
        <w:t xml:space="preserve">Client Money </w:t>
      </w:r>
    </w:p>
    <w:p w14:paraId="41C02EBE" w14:textId="15BA3D50" w:rsidR="009877B1" w:rsidRPr="00CC3978" w:rsidRDefault="004D2664" w:rsidP="002C36FC">
      <w:pPr>
        <w:pStyle w:val="Level1"/>
        <w:numPr>
          <w:ilvl w:val="0"/>
          <w:numId w:val="0"/>
        </w:numPr>
        <w:spacing w:after="240"/>
        <w:rPr>
          <w:rFonts w:ascii="Verdana" w:hAnsi="Verdana"/>
        </w:rPr>
      </w:pPr>
      <w:r w:rsidRPr="00CC3978">
        <w:rPr>
          <w:rFonts w:ascii="Verdana" w:hAnsi="Verdana"/>
        </w:rPr>
        <w:t xml:space="preserve">One of the benefits to you of moving the ACD to </w:t>
      </w:r>
      <w:r w:rsidR="00E70E01" w:rsidRPr="00CC3978">
        <w:rPr>
          <w:rFonts w:ascii="Verdana" w:hAnsi="Verdana"/>
        </w:rPr>
        <w:t xml:space="preserve"> a </w:t>
      </w:r>
      <w:r w:rsidRPr="00CC3978">
        <w:rPr>
          <w:rFonts w:ascii="Verdana" w:hAnsi="Verdana"/>
        </w:rPr>
        <w:t xml:space="preserve">UK </w:t>
      </w:r>
      <w:r w:rsidR="00E70E01" w:rsidRPr="00CC3978">
        <w:rPr>
          <w:rFonts w:ascii="Verdana" w:hAnsi="Verdana"/>
        </w:rPr>
        <w:t xml:space="preserve">company </w:t>
      </w:r>
      <w:r w:rsidRPr="00CC3978">
        <w:rPr>
          <w:rFonts w:ascii="Verdana" w:hAnsi="Verdana"/>
        </w:rPr>
        <w:t xml:space="preserve">is the extra protection provided by the FCA’s Client Assets sourcebook (the “Client Money Rules”). </w:t>
      </w:r>
      <w:r w:rsidR="00134161" w:rsidRPr="00CC3978">
        <w:rPr>
          <w:rFonts w:ascii="Verdana" w:hAnsi="Verdana"/>
        </w:rPr>
        <w:t>Tutman</w:t>
      </w:r>
      <w:r w:rsidR="005D634A" w:rsidRPr="00CC3978">
        <w:rPr>
          <w:rFonts w:ascii="Verdana" w:hAnsi="Verdana"/>
        </w:rPr>
        <w:t xml:space="preserve">, as the new ACD of the Sub-Funds, proposes to make use of the delivery versus payment exemption, as set out in Client </w:t>
      </w:r>
      <w:r w:rsidRPr="00CC3978">
        <w:rPr>
          <w:rFonts w:ascii="Verdana" w:hAnsi="Verdana"/>
        </w:rPr>
        <w:t>Money Rules</w:t>
      </w:r>
      <w:r w:rsidR="005D634A" w:rsidRPr="00CC3978">
        <w:rPr>
          <w:rFonts w:ascii="Verdana" w:hAnsi="Verdana"/>
        </w:rPr>
        <w:t xml:space="preserve">. Under this exemption, money received from investors does not need to be treated as client money for the purposes of the Client Money Rules where money is either received from investors as part of a subscription for shares in a Sub-Fund or money is being held by </w:t>
      </w:r>
      <w:r w:rsidR="00A1468B" w:rsidRPr="00CC3978">
        <w:rPr>
          <w:rFonts w:ascii="Verdana" w:hAnsi="Verdana"/>
        </w:rPr>
        <w:t>Tutman</w:t>
      </w:r>
      <w:r w:rsidR="005D634A" w:rsidRPr="00CC3978">
        <w:rPr>
          <w:rFonts w:ascii="Verdana" w:hAnsi="Verdana"/>
        </w:rPr>
        <w:t xml:space="preserve"> as part of a redemption of shares in a Sub-Fund. This exemption is only available to </w:t>
      </w:r>
      <w:r w:rsidR="00A1468B" w:rsidRPr="00CC3978">
        <w:rPr>
          <w:rFonts w:ascii="Verdana" w:hAnsi="Verdana"/>
        </w:rPr>
        <w:t>Tutman</w:t>
      </w:r>
      <w:r w:rsidR="005D634A" w:rsidRPr="00CC3978">
        <w:rPr>
          <w:rFonts w:ascii="Verdana" w:hAnsi="Verdana"/>
        </w:rPr>
        <w:t xml:space="preserve"> until close of business on the business day following its receipt of the money</w:t>
      </w:r>
      <w:r w:rsidR="002C36FC" w:rsidRPr="00CC3978">
        <w:rPr>
          <w:rFonts w:ascii="Verdana" w:hAnsi="Verdana"/>
        </w:rPr>
        <w:t xml:space="preserve">, after which </w:t>
      </w:r>
      <w:r w:rsidR="002C36FC" w:rsidRPr="00CC3978">
        <w:rPr>
          <w:rFonts w:ascii="Verdana" w:hAnsi="Verdana"/>
        </w:rPr>
        <w:lastRenderedPageBreak/>
        <w:t xml:space="preserve">the money will be treated as client money under the Client Money Rules. However, prior to that point, the money will not be subject to the protections conferred by the Client Money Rules, including the FCA’s client money distribution rules (under Chapter 7A of CASS) in the unlikely event that </w:t>
      </w:r>
      <w:r w:rsidR="00A1468B" w:rsidRPr="00CC3978">
        <w:rPr>
          <w:rFonts w:ascii="Verdana" w:hAnsi="Verdana"/>
        </w:rPr>
        <w:t>Tutman</w:t>
      </w:r>
      <w:r w:rsidR="002C36FC" w:rsidRPr="00CC3978">
        <w:rPr>
          <w:rFonts w:ascii="Verdana" w:hAnsi="Verdana"/>
        </w:rPr>
        <w:t xml:space="preserve"> were to fail. From the Effective Date the prospectus will be updated to include this ability for </w:t>
      </w:r>
      <w:r w:rsidR="00A1468B" w:rsidRPr="00CC3978">
        <w:rPr>
          <w:rFonts w:ascii="Verdana" w:hAnsi="Verdana"/>
        </w:rPr>
        <w:t>Tutman</w:t>
      </w:r>
      <w:r w:rsidR="002C36FC" w:rsidRPr="00CC3978">
        <w:rPr>
          <w:rFonts w:ascii="Verdana" w:hAnsi="Verdana"/>
        </w:rPr>
        <w:t xml:space="preserve"> to make use of this exemption.  </w:t>
      </w:r>
    </w:p>
    <w:p w14:paraId="1CB1CCFC" w14:textId="3C66106B" w:rsidR="009877B1" w:rsidRPr="00CC3978" w:rsidRDefault="009877B1" w:rsidP="002C36FC">
      <w:pPr>
        <w:pStyle w:val="Level1"/>
        <w:numPr>
          <w:ilvl w:val="0"/>
          <w:numId w:val="0"/>
        </w:numPr>
        <w:spacing w:after="240"/>
        <w:rPr>
          <w:rFonts w:ascii="Verdana" w:hAnsi="Verdana"/>
        </w:rPr>
      </w:pPr>
      <w:r w:rsidRPr="00CC3978">
        <w:rPr>
          <w:rFonts w:ascii="Verdana" w:hAnsi="Verdana"/>
        </w:rPr>
        <w:t xml:space="preserve">In addition, where the ACD has lost contact with the investor, the Client Money Rules allow the ACD to pay the client money balance to a registered charity after six years, provided it had made attempts to make contact.  Investors will still be able to recover this money at a later date. </w:t>
      </w:r>
    </w:p>
    <w:p w14:paraId="0544BEA3" w14:textId="60CAF2B3" w:rsidR="004D62A6" w:rsidRPr="00CC3978" w:rsidRDefault="004D62A6" w:rsidP="00142120">
      <w:pPr>
        <w:pStyle w:val="Level1"/>
        <w:numPr>
          <w:ilvl w:val="0"/>
          <w:numId w:val="24"/>
        </w:numPr>
        <w:spacing w:after="240"/>
        <w:rPr>
          <w:rFonts w:ascii="Verdana" w:hAnsi="Verdana"/>
          <w:b/>
        </w:rPr>
      </w:pPr>
      <w:r w:rsidRPr="00CC3978">
        <w:rPr>
          <w:rFonts w:ascii="Verdana" w:hAnsi="Verdana"/>
          <w:b/>
        </w:rPr>
        <w:t>Remuneration Policy</w:t>
      </w:r>
    </w:p>
    <w:p w14:paraId="015DB820" w14:textId="2D5721FF" w:rsidR="00FD64FE" w:rsidRPr="00CC3978" w:rsidRDefault="003F05DB" w:rsidP="00FD64FE">
      <w:pPr>
        <w:rPr>
          <w:rFonts w:ascii="Verdana" w:hAnsi="Verdana"/>
        </w:rPr>
      </w:pPr>
      <w:r w:rsidRPr="00CC3978">
        <w:rPr>
          <w:rFonts w:ascii="Verdana" w:hAnsi="Verdana"/>
        </w:rPr>
        <w:t xml:space="preserve">As a consequence of the change of ACD outlined above, the prospectus will be updated to remove the description of Natixis’ remuneration policy and to replace it with details of </w:t>
      </w:r>
      <w:r w:rsidR="00A1468B" w:rsidRPr="00CC3978">
        <w:rPr>
          <w:rFonts w:ascii="Verdana" w:hAnsi="Verdana"/>
        </w:rPr>
        <w:t>Tutman</w:t>
      </w:r>
      <w:r w:rsidRPr="00CC3978">
        <w:rPr>
          <w:rFonts w:ascii="Verdana" w:hAnsi="Verdana"/>
        </w:rPr>
        <w:t xml:space="preserve">’s remuneration policy. The summary wording to be included in the prospectus is set out in full in Schedule </w:t>
      </w:r>
      <w:r w:rsidR="001B40C1" w:rsidRPr="00CC3978">
        <w:rPr>
          <w:rFonts w:ascii="Verdana" w:hAnsi="Verdana"/>
        </w:rPr>
        <w:t>1</w:t>
      </w:r>
      <w:r w:rsidRPr="00CC3978">
        <w:rPr>
          <w:rFonts w:ascii="Verdana" w:hAnsi="Verdana"/>
        </w:rPr>
        <w:t>.</w:t>
      </w:r>
    </w:p>
    <w:p w14:paraId="0B199348" w14:textId="523792A9" w:rsidR="00561AFF" w:rsidRPr="00CC3978" w:rsidRDefault="00561AFF" w:rsidP="00FD64FE">
      <w:pPr>
        <w:rPr>
          <w:rFonts w:ascii="Verdana" w:hAnsi="Verdana"/>
        </w:rPr>
      </w:pPr>
    </w:p>
    <w:p w14:paraId="4DA140A7" w14:textId="7B2A4CDA" w:rsidR="005E4AC8" w:rsidRPr="00CC3978" w:rsidRDefault="005E4AC8" w:rsidP="00F37448">
      <w:pPr>
        <w:rPr>
          <w:rFonts w:ascii="Verdana" w:hAnsi="Verdana"/>
        </w:rPr>
      </w:pPr>
    </w:p>
    <w:p w14:paraId="7187FD99" w14:textId="25F26B75" w:rsidR="009D3667" w:rsidRPr="00CC3978" w:rsidRDefault="009D3667" w:rsidP="00142120">
      <w:pPr>
        <w:pStyle w:val="Level1"/>
        <w:numPr>
          <w:ilvl w:val="0"/>
          <w:numId w:val="24"/>
        </w:numPr>
        <w:spacing w:after="240"/>
        <w:rPr>
          <w:rFonts w:ascii="Verdana" w:hAnsi="Verdana"/>
        </w:rPr>
      </w:pPr>
      <w:r w:rsidRPr="00CC3978">
        <w:rPr>
          <w:rFonts w:ascii="Verdana" w:hAnsi="Verdana"/>
          <w:b/>
        </w:rPr>
        <w:t>Data protection</w:t>
      </w:r>
    </w:p>
    <w:p w14:paraId="0918C64E" w14:textId="6DC81DC5" w:rsidR="009D3667" w:rsidRPr="00CC3978" w:rsidRDefault="009D3667" w:rsidP="009D3667">
      <w:pPr>
        <w:rPr>
          <w:rFonts w:ascii="Verdana" w:hAnsi="Verdana"/>
        </w:rPr>
      </w:pPr>
      <w:r w:rsidRPr="00CC3978">
        <w:rPr>
          <w:rFonts w:ascii="Verdana" w:hAnsi="Verdana"/>
        </w:rPr>
        <w:t>As a result of the change of ACD with effect from</w:t>
      </w:r>
      <w:r w:rsidR="00DF3954" w:rsidRPr="00CC3978">
        <w:rPr>
          <w:rFonts w:ascii="Verdana" w:hAnsi="Verdana"/>
        </w:rPr>
        <w:t xml:space="preserve"> </w:t>
      </w:r>
      <w:r w:rsidR="004818FD" w:rsidRPr="00CC3978">
        <w:rPr>
          <w:rFonts w:ascii="Verdana" w:hAnsi="Verdana"/>
        </w:rPr>
        <w:t xml:space="preserve"> </w:t>
      </w:r>
      <w:r w:rsidR="00836FBC">
        <w:rPr>
          <w:rFonts w:ascii="Verdana" w:hAnsi="Verdana"/>
        </w:rPr>
        <w:t>18</w:t>
      </w:r>
      <w:r w:rsidR="00987E79">
        <w:rPr>
          <w:rFonts w:ascii="Verdana" w:hAnsi="Verdana"/>
        </w:rPr>
        <w:t xml:space="preserve"> </w:t>
      </w:r>
      <w:r w:rsidR="004818FD" w:rsidRPr="00CC3978">
        <w:rPr>
          <w:rFonts w:ascii="Verdana" w:hAnsi="Verdana"/>
        </w:rPr>
        <w:t>December 2023</w:t>
      </w:r>
      <w:r w:rsidRPr="00CC3978">
        <w:rPr>
          <w:rFonts w:ascii="Verdana" w:hAnsi="Verdana"/>
        </w:rPr>
        <w:t xml:space="preserve"> shareholders</w:t>
      </w:r>
      <w:r w:rsidR="007B0505" w:rsidRPr="00CC3978">
        <w:rPr>
          <w:rFonts w:ascii="Verdana" w:hAnsi="Verdana"/>
        </w:rPr>
        <w:t>’</w:t>
      </w:r>
      <w:r w:rsidRPr="00CC3978">
        <w:rPr>
          <w:rFonts w:ascii="Verdana" w:hAnsi="Verdana"/>
        </w:rPr>
        <w:t xml:space="preserve"> personal details will be transferred to</w:t>
      </w:r>
      <w:r w:rsidR="003578EF" w:rsidRPr="00CC3978">
        <w:rPr>
          <w:rFonts w:ascii="Verdana" w:hAnsi="Verdana"/>
        </w:rPr>
        <w:t xml:space="preserve"> </w:t>
      </w:r>
      <w:r w:rsidR="00A1468B" w:rsidRPr="00CC3978">
        <w:rPr>
          <w:rFonts w:ascii="Verdana" w:hAnsi="Verdana"/>
        </w:rPr>
        <w:t>Tutman</w:t>
      </w:r>
      <w:r w:rsidRPr="00CC3978">
        <w:rPr>
          <w:rFonts w:ascii="Verdana" w:hAnsi="Verdana"/>
        </w:rPr>
        <w:t xml:space="preserve">, a company that is not within the same group of companies as </w:t>
      </w:r>
      <w:r w:rsidR="003578EF" w:rsidRPr="00CC3978">
        <w:rPr>
          <w:rFonts w:ascii="Verdana" w:hAnsi="Verdana"/>
        </w:rPr>
        <w:t>Natixis</w:t>
      </w:r>
      <w:r w:rsidRPr="00CC3978">
        <w:rPr>
          <w:rFonts w:ascii="Verdana" w:hAnsi="Verdana"/>
        </w:rPr>
        <w:t xml:space="preserve">. From the Effective Date, </w:t>
      </w:r>
      <w:r w:rsidR="00A1468B" w:rsidRPr="00CC3978">
        <w:rPr>
          <w:rFonts w:ascii="Verdana" w:hAnsi="Verdana"/>
        </w:rPr>
        <w:t>Tutman</w:t>
      </w:r>
      <w:r w:rsidRPr="00CC3978">
        <w:rPr>
          <w:rFonts w:ascii="Verdana" w:hAnsi="Verdana"/>
        </w:rPr>
        <w:t xml:space="preserve"> will be data controller and your personal data will be processed in accordance with </w:t>
      </w:r>
      <w:r w:rsidR="00A1468B" w:rsidRPr="00CC3978">
        <w:rPr>
          <w:rFonts w:ascii="Verdana" w:hAnsi="Verdana"/>
        </w:rPr>
        <w:t>Tutman</w:t>
      </w:r>
      <w:r w:rsidR="007B0505" w:rsidRPr="00CC3978">
        <w:rPr>
          <w:rFonts w:ascii="Verdana" w:hAnsi="Verdana"/>
        </w:rPr>
        <w:t>’</w:t>
      </w:r>
      <w:r w:rsidRPr="00CC3978">
        <w:rPr>
          <w:rFonts w:ascii="Verdana" w:hAnsi="Verdana"/>
        </w:rPr>
        <w:t xml:space="preserve">s privacy notice and the terms of your agreement with </w:t>
      </w:r>
      <w:r w:rsidR="00A1468B" w:rsidRPr="00CC3978">
        <w:rPr>
          <w:rFonts w:ascii="Verdana" w:hAnsi="Verdana"/>
        </w:rPr>
        <w:t>Tutman</w:t>
      </w:r>
      <w:r w:rsidRPr="00CC3978">
        <w:rPr>
          <w:rFonts w:ascii="Verdana" w:hAnsi="Verdana"/>
        </w:rPr>
        <w:t>.</w:t>
      </w:r>
      <w:r w:rsidR="00525847" w:rsidRPr="00CC3978">
        <w:rPr>
          <w:rFonts w:ascii="Verdana" w:hAnsi="Verdana"/>
        </w:rPr>
        <w:t xml:space="preserve"> </w:t>
      </w:r>
      <w:r w:rsidRPr="00CC3978">
        <w:rPr>
          <w:rFonts w:ascii="Verdana" w:hAnsi="Verdana"/>
        </w:rPr>
        <w:t xml:space="preserve">Please note that under </w:t>
      </w:r>
      <w:r w:rsidR="00A1468B" w:rsidRPr="00CC3978">
        <w:rPr>
          <w:rFonts w:ascii="Verdana" w:hAnsi="Verdana"/>
        </w:rPr>
        <w:t>Tutman</w:t>
      </w:r>
      <w:r w:rsidR="007B0505" w:rsidRPr="00CC3978">
        <w:rPr>
          <w:rFonts w:ascii="Verdana" w:hAnsi="Verdana"/>
        </w:rPr>
        <w:t>’</w:t>
      </w:r>
      <w:r w:rsidRPr="00CC3978">
        <w:rPr>
          <w:rFonts w:ascii="Verdana" w:hAnsi="Verdana"/>
        </w:rPr>
        <w:t xml:space="preserve">s operation and management of the Company, </w:t>
      </w:r>
      <w:r w:rsidR="00A1468B" w:rsidRPr="00CC3978">
        <w:rPr>
          <w:rFonts w:ascii="Verdana" w:hAnsi="Verdana"/>
        </w:rPr>
        <w:t>Tutman</w:t>
      </w:r>
      <w:r w:rsidRPr="00CC3978">
        <w:rPr>
          <w:rFonts w:ascii="Verdana" w:hAnsi="Verdana"/>
        </w:rPr>
        <w:t xml:space="preserve"> may share personal data with</w:t>
      </w:r>
      <w:r w:rsidR="00BC2B52" w:rsidRPr="00CC3978">
        <w:rPr>
          <w:rFonts w:ascii="Verdana" w:hAnsi="Verdana"/>
        </w:rPr>
        <w:t xml:space="preserve"> Natixis Investment Managers International, </w:t>
      </w:r>
      <w:r w:rsidR="008F0A0D" w:rsidRPr="00CC3978">
        <w:rPr>
          <w:rFonts w:ascii="Verdana" w:hAnsi="Verdana"/>
        </w:rPr>
        <w:t xml:space="preserve"> </w:t>
      </w:r>
      <w:r w:rsidR="007925BF" w:rsidRPr="00CC3978">
        <w:rPr>
          <w:rFonts w:ascii="Verdana" w:hAnsi="Verdana"/>
        </w:rPr>
        <w:t xml:space="preserve">Harris Associates L.P., </w:t>
      </w:r>
      <w:r w:rsidR="00BC2B52" w:rsidRPr="00CC3978">
        <w:rPr>
          <w:rFonts w:ascii="Verdana" w:hAnsi="Verdana"/>
        </w:rPr>
        <w:t xml:space="preserve">H2O </w:t>
      </w:r>
      <w:r w:rsidR="004C15E7" w:rsidRPr="00CC3978">
        <w:rPr>
          <w:rFonts w:ascii="Verdana" w:hAnsi="Verdana"/>
        </w:rPr>
        <w:t xml:space="preserve">AM </w:t>
      </w:r>
      <w:r w:rsidR="00BC2B52" w:rsidRPr="00CC3978">
        <w:rPr>
          <w:rFonts w:ascii="Verdana" w:hAnsi="Verdana"/>
        </w:rPr>
        <w:t>LLP</w:t>
      </w:r>
      <w:r w:rsidR="004C15E7" w:rsidRPr="00CC3978">
        <w:rPr>
          <w:rFonts w:ascii="Verdana" w:hAnsi="Verdana"/>
        </w:rPr>
        <w:t xml:space="preserve">, </w:t>
      </w:r>
      <w:r w:rsidR="00BC2B52" w:rsidRPr="00CC3978">
        <w:rPr>
          <w:rFonts w:ascii="Verdana" w:hAnsi="Verdana"/>
        </w:rPr>
        <w:t xml:space="preserve"> </w:t>
      </w:r>
      <w:r w:rsidR="007925BF" w:rsidRPr="00CC3978">
        <w:rPr>
          <w:rFonts w:ascii="Verdana" w:hAnsi="Verdana"/>
        </w:rPr>
        <w:t>Loomis, Sayles &amp; Company L.P. and Mirova US LLC</w:t>
      </w:r>
      <w:r w:rsidR="004B2B92" w:rsidRPr="00CC3978">
        <w:rPr>
          <w:rFonts w:ascii="Verdana" w:hAnsi="Verdana"/>
        </w:rPr>
        <w:t xml:space="preserve">,  </w:t>
      </w:r>
      <w:r w:rsidRPr="00CC3978">
        <w:rPr>
          <w:rFonts w:ascii="Verdana" w:hAnsi="Verdana"/>
        </w:rPr>
        <w:t xml:space="preserve">as the </w:t>
      </w:r>
      <w:r w:rsidR="00501237" w:rsidRPr="00CC3978">
        <w:rPr>
          <w:rFonts w:ascii="Verdana" w:hAnsi="Verdana"/>
        </w:rPr>
        <w:t>sub-</w:t>
      </w:r>
      <w:r w:rsidR="004B2B92" w:rsidRPr="00CC3978">
        <w:rPr>
          <w:rFonts w:ascii="Verdana" w:hAnsi="Verdana"/>
        </w:rPr>
        <w:t>investment</w:t>
      </w:r>
      <w:r w:rsidR="004550FC" w:rsidRPr="00CC3978">
        <w:rPr>
          <w:rFonts w:ascii="Verdana" w:hAnsi="Verdana"/>
        </w:rPr>
        <w:t>/delegated investment</w:t>
      </w:r>
      <w:r w:rsidR="004B2B92" w:rsidRPr="00CC3978">
        <w:rPr>
          <w:rFonts w:ascii="Verdana" w:hAnsi="Verdana"/>
        </w:rPr>
        <w:t xml:space="preserve"> managers</w:t>
      </w:r>
      <w:r w:rsidRPr="00CC3978">
        <w:rPr>
          <w:rFonts w:ascii="Verdana" w:hAnsi="Verdana"/>
        </w:rPr>
        <w:t xml:space="preserve"> of the Sub-Funds. </w:t>
      </w:r>
      <w:r w:rsidR="009E34D0" w:rsidRPr="009D7F43">
        <w:rPr>
          <w:rFonts w:ascii="Verdana" w:hAnsi="Verdana"/>
        </w:rPr>
        <w:t xml:space="preserve">This sharing of your personal details (such as your name, address, bank details, contact details etc) is necessary for legitimate interests under data protection laws. </w:t>
      </w:r>
      <w:r w:rsidRPr="009D7F43">
        <w:rPr>
          <w:rFonts w:ascii="Verdana" w:hAnsi="Verdana"/>
        </w:rPr>
        <w:t>A</w:t>
      </w:r>
      <w:r w:rsidRPr="00CC3978">
        <w:rPr>
          <w:rFonts w:ascii="Verdana" w:hAnsi="Verdana"/>
        </w:rPr>
        <w:t xml:space="preserve"> copy of </w:t>
      </w:r>
      <w:r w:rsidR="00A1468B" w:rsidRPr="00CC3978">
        <w:rPr>
          <w:rFonts w:ascii="Verdana" w:hAnsi="Verdana"/>
        </w:rPr>
        <w:t>Tutman</w:t>
      </w:r>
      <w:r w:rsidR="007B0505" w:rsidRPr="00CC3978">
        <w:rPr>
          <w:rFonts w:ascii="Verdana" w:hAnsi="Verdana"/>
        </w:rPr>
        <w:t>’</w:t>
      </w:r>
      <w:r w:rsidRPr="00CC3978">
        <w:rPr>
          <w:rFonts w:ascii="Verdana" w:hAnsi="Verdana"/>
        </w:rPr>
        <w:t xml:space="preserve">s privacy notice is available on </w:t>
      </w:r>
      <w:r w:rsidR="00A1468B" w:rsidRPr="00CC3978">
        <w:rPr>
          <w:rFonts w:ascii="Verdana" w:hAnsi="Verdana"/>
        </w:rPr>
        <w:t>Tutman</w:t>
      </w:r>
      <w:r w:rsidR="007B0505" w:rsidRPr="00CC3978">
        <w:rPr>
          <w:rFonts w:ascii="Verdana" w:hAnsi="Verdana"/>
        </w:rPr>
        <w:t>’</w:t>
      </w:r>
      <w:r w:rsidRPr="00CC3978">
        <w:rPr>
          <w:rFonts w:ascii="Verdana" w:hAnsi="Verdana"/>
        </w:rPr>
        <w:t>s website (</w:t>
      </w:r>
      <w:hyperlink r:id="rId12" w:history="1">
        <w:r w:rsidR="005E2C85">
          <w:rPr>
            <w:rStyle w:val="Hyperlink"/>
          </w:rPr>
          <w:t>Tutman Privacy Notice - Tutman</w:t>
        </w:r>
      </w:hyperlink>
      <w:r w:rsidRPr="00CC3978">
        <w:rPr>
          <w:rFonts w:ascii="Verdana" w:hAnsi="Verdana"/>
        </w:rPr>
        <w:t xml:space="preserve">). Should you require a hard copy of the privacy notice or </w:t>
      </w:r>
      <w:r w:rsidR="00425DDF" w:rsidRPr="00CC3978">
        <w:rPr>
          <w:rFonts w:ascii="Verdana" w:hAnsi="Verdana"/>
        </w:rPr>
        <w:t xml:space="preserve">need </w:t>
      </w:r>
      <w:r w:rsidRPr="00CC3978">
        <w:rPr>
          <w:rFonts w:ascii="Verdana" w:hAnsi="Verdana"/>
        </w:rPr>
        <w:t xml:space="preserve">any further information in relation to </w:t>
      </w:r>
      <w:r w:rsidR="00A1468B" w:rsidRPr="00CC3978">
        <w:rPr>
          <w:rFonts w:ascii="Verdana" w:hAnsi="Verdana"/>
        </w:rPr>
        <w:t>Tutman</w:t>
      </w:r>
      <w:r w:rsidR="007B0505" w:rsidRPr="00CC3978">
        <w:rPr>
          <w:rFonts w:ascii="Verdana" w:hAnsi="Verdana"/>
        </w:rPr>
        <w:t>’</w:t>
      </w:r>
      <w:r w:rsidRPr="00CC3978">
        <w:rPr>
          <w:rFonts w:ascii="Verdana" w:hAnsi="Verdana"/>
        </w:rPr>
        <w:t xml:space="preserve">s processing of your personal data, please contact </w:t>
      </w:r>
      <w:r w:rsidR="00A1468B" w:rsidRPr="00CC3978">
        <w:rPr>
          <w:rFonts w:ascii="Verdana" w:hAnsi="Verdana"/>
        </w:rPr>
        <w:t>Tutman</w:t>
      </w:r>
      <w:r w:rsidRPr="00CC3978">
        <w:rPr>
          <w:rFonts w:ascii="Verdana" w:hAnsi="Verdana"/>
        </w:rPr>
        <w:t xml:space="preserve"> on the number below.</w:t>
      </w:r>
    </w:p>
    <w:p w14:paraId="0835E00A" w14:textId="247EB169" w:rsidR="007925BF" w:rsidRPr="00CC3978" w:rsidRDefault="007925BF" w:rsidP="009D3667">
      <w:pPr>
        <w:rPr>
          <w:rFonts w:ascii="Verdana" w:hAnsi="Verdana"/>
        </w:rPr>
      </w:pPr>
    </w:p>
    <w:p w14:paraId="2B68C7B6" w14:textId="525E2C4A" w:rsidR="007925BF" w:rsidRPr="00CC3978" w:rsidRDefault="007925BF" w:rsidP="00142120">
      <w:pPr>
        <w:pStyle w:val="ListParagraph"/>
        <w:numPr>
          <w:ilvl w:val="0"/>
          <w:numId w:val="24"/>
        </w:numPr>
        <w:rPr>
          <w:rFonts w:ascii="Verdana" w:hAnsi="Verdana"/>
        </w:rPr>
      </w:pPr>
      <w:r w:rsidRPr="00CC3978">
        <w:rPr>
          <w:rFonts w:ascii="Verdana" w:hAnsi="Verdana"/>
          <w:b/>
        </w:rPr>
        <w:t>Costs</w:t>
      </w:r>
    </w:p>
    <w:p w14:paraId="167C4B39" w14:textId="77777777" w:rsidR="009D3667" w:rsidRPr="00CC3978" w:rsidRDefault="009D3667" w:rsidP="009D3667">
      <w:pPr>
        <w:rPr>
          <w:rFonts w:ascii="Verdana" w:hAnsi="Verdana"/>
        </w:rPr>
      </w:pPr>
    </w:p>
    <w:p w14:paraId="395E759E" w14:textId="72B78C35" w:rsidR="009D3667" w:rsidRPr="00CC3978" w:rsidRDefault="009C1084" w:rsidP="009D3667">
      <w:pPr>
        <w:rPr>
          <w:rFonts w:ascii="Verdana" w:hAnsi="Verdana"/>
        </w:rPr>
      </w:pPr>
      <w:r w:rsidRPr="00CC3978">
        <w:rPr>
          <w:rFonts w:ascii="Verdana" w:hAnsi="Verdana"/>
        </w:rPr>
        <w:t xml:space="preserve">You </w:t>
      </w:r>
      <w:r w:rsidR="00A679E7">
        <w:rPr>
          <w:rFonts w:ascii="Verdana" w:hAnsi="Verdana"/>
        </w:rPr>
        <w:t>will not</w:t>
      </w:r>
      <w:r w:rsidR="00A679E7" w:rsidRPr="00CC3978">
        <w:rPr>
          <w:rFonts w:ascii="Verdana" w:hAnsi="Verdana"/>
        </w:rPr>
        <w:t xml:space="preserve"> </w:t>
      </w:r>
      <w:r w:rsidRPr="00CC3978">
        <w:rPr>
          <w:rFonts w:ascii="Verdana" w:hAnsi="Verdana"/>
        </w:rPr>
        <w:t xml:space="preserve">have to pay anything for the changes in this letter to take place. </w:t>
      </w:r>
    </w:p>
    <w:p w14:paraId="77D2F2CE" w14:textId="79E7A17C" w:rsidR="009D3667" w:rsidRPr="00CC3978" w:rsidRDefault="009D3667" w:rsidP="009D3667">
      <w:pPr>
        <w:rPr>
          <w:rFonts w:ascii="Verdana" w:hAnsi="Verdana"/>
        </w:rPr>
      </w:pPr>
    </w:p>
    <w:p w14:paraId="462B0177" w14:textId="600F2EFD" w:rsidR="004041F0" w:rsidRPr="00CC3978" w:rsidRDefault="004041F0" w:rsidP="009D3667">
      <w:pPr>
        <w:rPr>
          <w:rFonts w:ascii="Verdana" w:hAnsi="Verdana"/>
        </w:rPr>
      </w:pPr>
    </w:p>
    <w:p w14:paraId="6F4EB6D9" w14:textId="77777777" w:rsidR="004041F0" w:rsidRPr="00CC3978" w:rsidRDefault="004041F0" w:rsidP="00142120">
      <w:pPr>
        <w:pStyle w:val="ListParagraph"/>
        <w:numPr>
          <w:ilvl w:val="0"/>
          <w:numId w:val="24"/>
        </w:numPr>
        <w:rPr>
          <w:rFonts w:ascii="Verdana" w:hAnsi="Verdana"/>
        </w:rPr>
      </w:pPr>
      <w:r w:rsidRPr="00CC3978">
        <w:rPr>
          <w:rFonts w:ascii="Verdana" w:hAnsi="Verdana"/>
          <w:b/>
        </w:rPr>
        <w:t>Settlement Details</w:t>
      </w:r>
    </w:p>
    <w:p w14:paraId="39C998B2" w14:textId="77777777" w:rsidR="004041F0" w:rsidRPr="00CC3978" w:rsidRDefault="004041F0" w:rsidP="004041F0">
      <w:pPr>
        <w:rPr>
          <w:rFonts w:ascii="Verdana" w:hAnsi="Verdana"/>
        </w:rPr>
      </w:pPr>
    </w:p>
    <w:p w14:paraId="05F3B3DE" w14:textId="72C2A515" w:rsidR="004041F0" w:rsidRDefault="004041F0" w:rsidP="004041F0">
      <w:pPr>
        <w:rPr>
          <w:rFonts w:ascii="Verdana" w:hAnsi="Verdana"/>
        </w:rPr>
      </w:pPr>
      <w:r w:rsidRPr="00CC3978">
        <w:rPr>
          <w:rFonts w:ascii="Verdana" w:hAnsi="Verdana"/>
        </w:rPr>
        <w:t xml:space="preserve">Please note that the process for buying, redeeming and switching shares in the Sub-Funds will not change after the </w:t>
      </w:r>
      <w:r w:rsidR="00E70E01" w:rsidRPr="00CC3978">
        <w:rPr>
          <w:rFonts w:ascii="Verdana" w:hAnsi="Verdana"/>
        </w:rPr>
        <w:t>E</w:t>
      </w:r>
      <w:r w:rsidRPr="00CC3978">
        <w:rPr>
          <w:rFonts w:ascii="Verdana" w:hAnsi="Verdana"/>
        </w:rPr>
        <w:t xml:space="preserve">ffective </w:t>
      </w:r>
      <w:r w:rsidR="00E70E01" w:rsidRPr="00CC3978">
        <w:rPr>
          <w:rFonts w:ascii="Verdana" w:hAnsi="Verdana"/>
        </w:rPr>
        <w:t>D</w:t>
      </w:r>
      <w:r w:rsidRPr="00CC3978">
        <w:rPr>
          <w:rFonts w:ascii="Verdana" w:hAnsi="Verdana"/>
        </w:rPr>
        <w:t xml:space="preserve">ate. The bank details for settlements payments will change and shareholders will be notified of these changes prior to the Effective Date. </w:t>
      </w:r>
    </w:p>
    <w:p w14:paraId="30440E11" w14:textId="54CA2A0B" w:rsidR="009E34D0" w:rsidRDefault="009E34D0" w:rsidP="004041F0">
      <w:pPr>
        <w:rPr>
          <w:rFonts w:ascii="Verdana" w:hAnsi="Verdana"/>
        </w:rPr>
      </w:pPr>
    </w:p>
    <w:p w14:paraId="6ABBD730" w14:textId="77777777" w:rsidR="007328AB" w:rsidRDefault="007328AB" w:rsidP="004041F0">
      <w:pPr>
        <w:rPr>
          <w:rFonts w:ascii="Verdana" w:hAnsi="Verdana"/>
        </w:rPr>
      </w:pPr>
    </w:p>
    <w:p w14:paraId="7F388C8E" w14:textId="24AA0659" w:rsidR="009E34D0" w:rsidRPr="00CC556E" w:rsidRDefault="009E34D0" w:rsidP="00CC556E">
      <w:pPr>
        <w:pStyle w:val="ListParagraph"/>
        <w:numPr>
          <w:ilvl w:val="0"/>
          <w:numId w:val="24"/>
        </w:numPr>
        <w:rPr>
          <w:rFonts w:ascii="Verdana" w:hAnsi="Verdana"/>
          <w:b/>
          <w:bCs/>
        </w:rPr>
      </w:pPr>
      <w:r w:rsidRPr="00CC556E">
        <w:rPr>
          <w:rFonts w:ascii="Verdana" w:hAnsi="Verdana"/>
          <w:b/>
          <w:bCs/>
        </w:rPr>
        <w:t xml:space="preserve">For investors who have provided a Coverall Renunciation and Settlement Form to Natixis </w:t>
      </w:r>
    </w:p>
    <w:p w14:paraId="37751DF2" w14:textId="77777777" w:rsidR="009E34D0" w:rsidRPr="009E34D0" w:rsidRDefault="009E34D0" w:rsidP="009E34D0">
      <w:pPr>
        <w:rPr>
          <w:rFonts w:ascii="Verdana" w:hAnsi="Verdana"/>
        </w:rPr>
      </w:pPr>
    </w:p>
    <w:p w14:paraId="02114030" w14:textId="5069CF0B" w:rsidR="009E34D0" w:rsidRPr="00162164" w:rsidRDefault="009E34D0" w:rsidP="009E34D0">
      <w:pPr>
        <w:rPr>
          <w:rFonts w:ascii="Verdana" w:hAnsi="Verdana"/>
        </w:rPr>
      </w:pPr>
      <w:r w:rsidRPr="009E34D0">
        <w:rPr>
          <w:rFonts w:ascii="Verdana" w:hAnsi="Verdana"/>
        </w:rPr>
        <w:t xml:space="preserve">As a consequence of the change of ACD outlined above, any existing coverall agreements you have in place with Natixis will transfer to Tutman. The coverall agreement gives authority to the ACD to release sale proceeds electronically to the bank details provided by you in the existing Coverall Renunciation and Settlement </w:t>
      </w:r>
      <w:r w:rsidRPr="009E34D0">
        <w:rPr>
          <w:rFonts w:ascii="Verdana" w:hAnsi="Verdana"/>
        </w:rPr>
        <w:lastRenderedPageBreak/>
        <w:t>Form. Please contact SS&amp;C Financial Services Europe Limited on 0370 7070073 (outside the U.K. +44 203 975 3976) between 9.00am and 5.</w:t>
      </w:r>
      <w:r w:rsidRPr="00162164">
        <w:rPr>
          <w:rFonts w:ascii="Verdana" w:hAnsi="Verdana"/>
        </w:rPr>
        <w:t xml:space="preserve">00pm by </w:t>
      </w:r>
      <w:r w:rsidRPr="00162164">
        <w:rPr>
          <w:rFonts w:ascii="Verdana" w:hAnsi="Verdana" w:cs="Arial"/>
        </w:rPr>
        <w:t xml:space="preserve">and by the latest by 5.00 pm </w:t>
      </w:r>
      <w:r w:rsidRPr="00162164">
        <w:rPr>
          <w:rFonts w:ascii="Verdana" w:hAnsi="Verdana"/>
        </w:rPr>
        <w:t>15 December 2023 if you have any objection to this approach otherwise this will be deemed accepted by you.</w:t>
      </w:r>
    </w:p>
    <w:p w14:paraId="4F39B6EB" w14:textId="7A4955A8" w:rsidR="009E34D0" w:rsidRDefault="009E34D0" w:rsidP="004041F0">
      <w:pPr>
        <w:rPr>
          <w:rFonts w:ascii="Verdana" w:hAnsi="Verdana"/>
        </w:rPr>
      </w:pPr>
    </w:p>
    <w:p w14:paraId="6A67F7AE" w14:textId="183F4879" w:rsidR="009E34D0" w:rsidRDefault="009E34D0" w:rsidP="004041F0">
      <w:pPr>
        <w:rPr>
          <w:rFonts w:ascii="Verdana" w:hAnsi="Verdana"/>
        </w:rPr>
      </w:pPr>
    </w:p>
    <w:p w14:paraId="418A93C0" w14:textId="77777777" w:rsidR="004041F0" w:rsidRPr="00CC3978" w:rsidRDefault="004041F0" w:rsidP="009D3667">
      <w:pPr>
        <w:rPr>
          <w:rFonts w:ascii="Verdana" w:hAnsi="Verdana"/>
        </w:rPr>
      </w:pPr>
    </w:p>
    <w:p w14:paraId="589ECB77" w14:textId="66532A03" w:rsidR="007925BF" w:rsidRPr="00CC3978" w:rsidRDefault="007925BF" w:rsidP="00142120">
      <w:pPr>
        <w:pStyle w:val="ListParagraph"/>
        <w:numPr>
          <w:ilvl w:val="0"/>
          <w:numId w:val="24"/>
        </w:numPr>
        <w:rPr>
          <w:rFonts w:ascii="Verdana" w:hAnsi="Verdana"/>
        </w:rPr>
      </w:pPr>
      <w:r w:rsidRPr="00CC3978">
        <w:rPr>
          <w:rFonts w:ascii="Verdana" w:hAnsi="Verdana"/>
          <w:b/>
        </w:rPr>
        <w:t>Questions and next steps</w:t>
      </w:r>
      <w:r w:rsidR="00134161" w:rsidRPr="00CC3978">
        <w:rPr>
          <w:rFonts w:ascii="Verdana" w:hAnsi="Verdana"/>
          <w:b/>
        </w:rPr>
        <w:t xml:space="preserve"> </w:t>
      </w:r>
    </w:p>
    <w:p w14:paraId="1F7F9048" w14:textId="77777777" w:rsidR="00E03106" w:rsidRPr="00CC3978" w:rsidRDefault="00E03106" w:rsidP="00E03106">
      <w:pPr>
        <w:ind w:left="360"/>
        <w:rPr>
          <w:rFonts w:ascii="Verdana" w:hAnsi="Verdana"/>
        </w:rPr>
      </w:pPr>
    </w:p>
    <w:p w14:paraId="72B9C2D1" w14:textId="0DD6ED1C" w:rsidR="009D3667" w:rsidRPr="00697B8A" w:rsidRDefault="009C1084" w:rsidP="009D3667">
      <w:pPr>
        <w:rPr>
          <w:rFonts w:ascii="Verdana" w:hAnsi="Verdana"/>
        </w:rPr>
      </w:pPr>
      <w:r w:rsidRPr="00CC3978">
        <w:rPr>
          <w:rFonts w:ascii="Verdana" w:hAnsi="Verdana"/>
        </w:rPr>
        <w:t xml:space="preserve">If you have any questions about what we have explained in this letter </w:t>
      </w:r>
      <w:r w:rsidR="009D3667" w:rsidRPr="00CC3978">
        <w:rPr>
          <w:rFonts w:ascii="Verdana" w:hAnsi="Verdana"/>
        </w:rPr>
        <w:t xml:space="preserve">before the </w:t>
      </w:r>
      <w:r w:rsidR="009D3667" w:rsidRPr="00697B8A">
        <w:rPr>
          <w:rFonts w:ascii="Verdana" w:hAnsi="Verdana"/>
        </w:rPr>
        <w:t xml:space="preserve">Effective Date, please contact </w:t>
      </w:r>
      <w:r w:rsidR="00957DF7" w:rsidRPr="00697B8A">
        <w:rPr>
          <w:rFonts w:ascii="Verdana" w:hAnsi="Verdana"/>
        </w:rPr>
        <w:t xml:space="preserve">the transfer agent, </w:t>
      </w:r>
      <w:r w:rsidR="00957DF7" w:rsidRPr="00697B8A">
        <w:t xml:space="preserve">SS&amp;C </w:t>
      </w:r>
      <w:r w:rsidR="00957DF7" w:rsidRPr="00697B8A">
        <w:rPr>
          <w:rFonts w:ascii="Verdana" w:hAnsi="Verdana"/>
        </w:rPr>
        <w:t xml:space="preserve">Financial Services Europe Limited </w:t>
      </w:r>
      <w:r w:rsidR="009D3667" w:rsidRPr="00697B8A">
        <w:rPr>
          <w:rFonts w:ascii="Verdana" w:hAnsi="Verdana"/>
        </w:rPr>
        <w:t xml:space="preserve">on </w:t>
      </w:r>
      <w:r w:rsidR="00957DF7" w:rsidRPr="00697B8A">
        <w:rPr>
          <w:rFonts w:ascii="Verdana" w:hAnsi="Verdana"/>
        </w:rPr>
        <w:t xml:space="preserve">0370 7070073 (outside the U.K. +44 203 975 3976) </w:t>
      </w:r>
      <w:r w:rsidR="009D3667" w:rsidRPr="00697B8A">
        <w:rPr>
          <w:rFonts w:ascii="Verdana" w:hAnsi="Verdana"/>
        </w:rPr>
        <w:t>between 9</w:t>
      </w:r>
      <w:r w:rsidR="00E00FBC" w:rsidRPr="00697B8A">
        <w:rPr>
          <w:rFonts w:ascii="Verdana" w:hAnsi="Verdana"/>
        </w:rPr>
        <w:t>.00</w:t>
      </w:r>
      <w:r w:rsidR="009D3667" w:rsidRPr="00697B8A">
        <w:rPr>
          <w:rFonts w:ascii="Verdana" w:hAnsi="Verdana"/>
        </w:rPr>
        <w:t>am and 5</w:t>
      </w:r>
      <w:r w:rsidR="00E00FBC" w:rsidRPr="00697B8A">
        <w:rPr>
          <w:rFonts w:ascii="Verdana" w:hAnsi="Verdana"/>
        </w:rPr>
        <w:t>.00</w:t>
      </w:r>
      <w:r w:rsidR="009D3667" w:rsidRPr="00697B8A">
        <w:rPr>
          <w:rFonts w:ascii="Verdana" w:hAnsi="Verdana"/>
        </w:rPr>
        <w:t xml:space="preserve">pm.  After the Effective Date please contact </w:t>
      </w:r>
      <w:r w:rsidR="00A1468B" w:rsidRPr="00697B8A">
        <w:rPr>
          <w:rFonts w:ascii="Verdana" w:hAnsi="Verdana"/>
        </w:rPr>
        <w:t>Tutman</w:t>
      </w:r>
      <w:r w:rsidR="009D3667" w:rsidRPr="00697B8A">
        <w:rPr>
          <w:rFonts w:ascii="Verdana" w:hAnsi="Verdana"/>
        </w:rPr>
        <w:t xml:space="preserve"> on</w:t>
      </w:r>
      <w:r w:rsidR="00525847" w:rsidRPr="00697B8A">
        <w:rPr>
          <w:rFonts w:ascii="Verdana" w:hAnsi="Verdana"/>
        </w:rPr>
        <w:t xml:space="preserve">  </w:t>
      </w:r>
      <w:r w:rsidR="002B3AD5" w:rsidRPr="00697B8A">
        <w:rPr>
          <w:rFonts w:ascii="Verdana" w:hAnsi="Verdana" w:cs="Segoe UI"/>
          <w:shd w:val="clear" w:color="auto" w:fill="FFFFFF"/>
        </w:rPr>
        <w:t>01243 531234</w:t>
      </w:r>
      <w:r w:rsidR="00525847" w:rsidRPr="00697B8A">
        <w:rPr>
          <w:rFonts w:ascii="Verdana" w:hAnsi="Verdana"/>
        </w:rPr>
        <w:t xml:space="preserve"> </w:t>
      </w:r>
      <w:r w:rsidR="004550FC" w:rsidRPr="00697B8A">
        <w:rPr>
          <w:rFonts w:ascii="Verdana" w:hAnsi="Verdana"/>
        </w:rPr>
        <w:t xml:space="preserve">  </w:t>
      </w:r>
      <w:r w:rsidR="008F0A0D" w:rsidRPr="00697B8A">
        <w:rPr>
          <w:rFonts w:ascii="Verdana" w:hAnsi="Verdana"/>
        </w:rPr>
        <w:t xml:space="preserve"> </w:t>
      </w:r>
      <w:r w:rsidR="004550FC" w:rsidRPr="00697B8A">
        <w:rPr>
          <w:rFonts w:ascii="Verdana" w:hAnsi="Verdana"/>
        </w:rPr>
        <w:t xml:space="preserve">  </w:t>
      </w:r>
      <w:r w:rsidR="008F0A0D" w:rsidRPr="00697B8A">
        <w:rPr>
          <w:rFonts w:ascii="Verdana" w:hAnsi="Verdana"/>
        </w:rPr>
        <w:t>b</w:t>
      </w:r>
      <w:r w:rsidR="009D3667" w:rsidRPr="00697B8A">
        <w:rPr>
          <w:rFonts w:ascii="Verdana" w:hAnsi="Verdana"/>
        </w:rPr>
        <w:t>etween 9.00am and 5.00pm on any business day. Please note that calls may be recorded for training and monitoring purposes.</w:t>
      </w:r>
    </w:p>
    <w:p w14:paraId="23388EAF" w14:textId="3486A6EF" w:rsidR="009C1084" w:rsidRPr="00697B8A" w:rsidRDefault="009C1084" w:rsidP="009C1084">
      <w:pPr>
        <w:spacing w:before="100" w:beforeAutospacing="1" w:after="100" w:afterAutospacing="1"/>
        <w:jc w:val="left"/>
        <w:rPr>
          <w:rFonts w:ascii="Verdana" w:hAnsi="Verdana" w:cs="Arial"/>
        </w:rPr>
      </w:pPr>
      <w:r w:rsidRPr="00697B8A">
        <w:rPr>
          <w:rFonts w:ascii="Verdana" w:hAnsi="Verdana" w:cs="Segoe UI"/>
        </w:rPr>
        <w:t>If you need any special assistance with this letter or have additional needs (for example, you require this document in large print, braille or audio), please get in touch with us.</w:t>
      </w:r>
    </w:p>
    <w:p w14:paraId="4BC691CF" w14:textId="77777777" w:rsidR="009C1084" w:rsidRPr="00697B8A" w:rsidRDefault="009C1084" w:rsidP="009C1084">
      <w:pPr>
        <w:spacing w:before="100" w:beforeAutospacing="1" w:after="100" w:afterAutospacing="1"/>
        <w:jc w:val="left"/>
        <w:rPr>
          <w:rFonts w:ascii="Verdana" w:hAnsi="Verdana" w:cs="Arial"/>
        </w:rPr>
      </w:pPr>
      <w:r w:rsidRPr="00697B8A">
        <w:rPr>
          <w:rFonts w:ascii="Verdana" w:hAnsi="Verdana" w:cs="Segoe UI"/>
        </w:rPr>
        <w:t>If you are deaf, have hearing loss or are speech impaired, you can contact us by using the Relay UK service. You can do this either by using the app, or by dialling 18001 before our number using your textphone.</w:t>
      </w:r>
    </w:p>
    <w:p w14:paraId="02C172E1" w14:textId="095301A6" w:rsidR="009D3667" w:rsidRPr="00CC3978" w:rsidRDefault="009D3667" w:rsidP="009D3667">
      <w:pPr>
        <w:rPr>
          <w:rFonts w:ascii="Verdana" w:hAnsi="Verdana"/>
          <w:bCs/>
        </w:rPr>
      </w:pPr>
      <w:r w:rsidRPr="00697B8A">
        <w:rPr>
          <w:rFonts w:ascii="Verdana" w:hAnsi="Verdana"/>
          <w:bCs/>
        </w:rPr>
        <w:t xml:space="preserve">You do not need to take any action for the above changes </w:t>
      </w:r>
      <w:r w:rsidRPr="00CC3978">
        <w:rPr>
          <w:rFonts w:ascii="Verdana" w:hAnsi="Verdana"/>
          <w:bCs/>
        </w:rPr>
        <w:t>to become effective. If you have any concerns about the contents of this letter, we strongly recommend that you contact a professional adviser.</w:t>
      </w:r>
    </w:p>
    <w:p w14:paraId="5260D7D6" w14:textId="77777777" w:rsidR="009D3667" w:rsidRPr="00CC3978" w:rsidRDefault="009D3667" w:rsidP="009D3667">
      <w:pPr>
        <w:rPr>
          <w:rFonts w:ascii="Verdana" w:hAnsi="Verdana"/>
        </w:rPr>
      </w:pPr>
    </w:p>
    <w:p w14:paraId="68450C20" w14:textId="1154121A" w:rsidR="009D3667" w:rsidRPr="00CC3978" w:rsidRDefault="009D3667" w:rsidP="009D3667">
      <w:pPr>
        <w:rPr>
          <w:rFonts w:ascii="Verdana" w:hAnsi="Verdana"/>
        </w:rPr>
      </w:pPr>
      <w:r w:rsidRPr="00CC3978">
        <w:rPr>
          <w:rFonts w:ascii="Verdana" w:hAnsi="Verdana"/>
        </w:rPr>
        <w:t xml:space="preserve">Shortly after the Effective Date you will receive </w:t>
      </w:r>
      <w:r w:rsidR="009C1084" w:rsidRPr="00CC3978">
        <w:rPr>
          <w:rFonts w:ascii="Verdana" w:hAnsi="Verdana"/>
        </w:rPr>
        <w:t xml:space="preserve">a form of </w:t>
      </w:r>
      <w:r w:rsidRPr="00CC3978">
        <w:rPr>
          <w:rFonts w:ascii="Verdana" w:hAnsi="Verdana"/>
        </w:rPr>
        <w:t xml:space="preserve">confirmation that the transfer of the Company and Sub-Funds from </w:t>
      </w:r>
      <w:r w:rsidR="003578EF" w:rsidRPr="00CC3978">
        <w:rPr>
          <w:rFonts w:ascii="Verdana" w:hAnsi="Verdana"/>
        </w:rPr>
        <w:t xml:space="preserve">Natixis to </w:t>
      </w:r>
      <w:r w:rsidR="00A1468B" w:rsidRPr="00CC3978">
        <w:rPr>
          <w:rFonts w:ascii="Verdana" w:hAnsi="Verdana"/>
        </w:rPr>
        <w:t>Tutman</w:t>
      </w:r>
      <w:r w:rsidRPr="00CC3978">
        <w:rPr>
          <w:rFonts w:ascii="Verdana" w:hAnsi="Verdana"/>
        </w:rPr>
        <w:t xml:space="preserve"> has taken place.</w:t>
      </w:r>
    </w:p>
    <w:p w14:paraId="3BEF213C" w14:textId="77777777" w:rsidR="009D3667" w:rsidRPr="00CC3978" w:rsidRDefault="009D3667" w:rsidP="009D3667">
      <w:pPr>
        <w:rPr>
          <w:rFonts w:ascii="Verdana" w:hAnsi="Verdana"/>
        </w:rPr>
      </w:pPr>
    </w:p>
    <w:p w14:paraId="5FDACD11" w14:textId="77777777" w:rsidR="009D3667" w:rsidRPr="00CC3978" w:rsidRDefault="009D3667" w:rsidP="009D3667">
      <w:pPr>
        <w:rPr>
          <w:rFonts w:ascii="Verdana" w:hAnsi="Verdana"/>
        </w:rPr>
      </w:pPr>
    </w:p>
    <w:p w14:paraId="67F9EFF2" w14:textId="61362BB9" w:rsidR="009D3667" w:rsidRPr="00CC3978" w:rsidRDefault="009D3667" w:rsidP="009D3667">
      <w:pPr>
        <w:rPr>
          <w:rFonts w:ascii="Verdana" w:hAnsi="Verdana"/>
        </w:rPr>
      </w:pPr>
      <w:r w:rsidRPr="00CC3978">
        <w:rPr>
          <w:rFonts w:ascii="Verdana" w:hAnsi="Verdana"/>
        </w:rPr>
        <w:t>Yours sincerely</w:t>
      </w:r>
    </w:p>
    <w:p w14:paraId="7A7710E5" w14:textId="77777777" w:rsidR="009D3667" w:rsidRPr="00CC3978" w:rsidRDefault="009D3667" w:rsidP="009D3667">
      <w:pPr>
        <w:rPr>
          <w:rFonts w:ascii="Verdana" w:hAnsi="Verdana"/>
        </w:rPr>
      </w:pPr>
    </w:p>
    <w:p w14:paraId="44D0164E" w14:textId="77777777" w:rsidR="009D3667" w:rsidRPr="00CC3978" w:rsidRDefault="009D3667" w:rsidP="009D3667">
      <w:pPr>
        <w:rPr>
          <w:rFonts w:ascii="Verdana" w:hAnsi="Verdana"/>
        </w:rPr>
      </w:pPr>
      <w:r w:rsidRPr="00CC3978">
        <w:rPr>
          <w:rFonts w:ascii="Verdana" w:hAnsi="Verdana"/>
        </w:rPr>
        <w:t xml:space="preserve"> </w:t>
      </w:r>
    </w:p>
    <w:p w14:paraId="7DF48493" w14:textId="77777777" w:rsidR="009D3667" w:rsidRPr="00CC3978" w:rsidRDefault="009D3667" w:rsidP="009D3667">
      <w:pPr>
        <w:rPr>
          <w:rFonts w:ascii="Verdana" w:hAnsi="Verdana"/>
        </w:rPr>
      </w:pPr>
    </w:p>
    <w:p w14:paraId="2E7D7BCB" w14:textId="77777777" w:rsidR="0076467D" w:rsidRDefault="0076467D" w:rsidP="009D3667">
      <w:pPr>
        <w:rPr>
          <w:rFonts w:ascii="Verdana" w:hAnsi="Verdana"/>
        </w:rPr>
      </w:pPr>
    </w:p>
    <w:p w14:paraId="1124C27E" w14:textId="35162B07" w:rsidR="009D3667" w:rsidRPr="00CC3978" w:rsidRDefault="00FD64FE" w:rsidP="009D3667">
      <w:pPr>
        <w:rPr>
          <w:rFonts w:ascii="Verdana" w:hAnsi="Verdana"/>
        </w:rPr>
      </w:pPr>
      <w:r w:rsidRPr="00CC3978">
        <w:rPr>
          <w:rFonts w:ascii="Verdana" w:hAnsi="Verdana"/>
        </w:rPr>
        <w:t>Natixis Investment Managers S.A.</w:t>
      </w:r>
    </w:p>
    <w:p w14:paraId="4A460881" w14:textId="77777777" w:rsidR="009D3667" w:rsidRPr="00CC3978" w:rsidRDefault="009D3667" w:rsidP="009D3667">
      <w:pPr>
        <w:rPr>
          <w:rFonts w:ascii="Verdana" w:hAnsi="Verdana"/>
        </w:rPr>
      </w:pPr>
    </w:p>
    <w:p w14:paraId="43C86A00" w14:textId="7BEF00FC" w:rsidR="009D3667" w:rsidRPr="00CC3978" w:rsidRDefault="009D3667" w:rsidP="009D3667">
      <w:pPr>
        <w:jc w:val="left"/>
        <w:rPr>
          <w:rFonts w:ascii="Verdana" w:hAnsi="Verdana"/>
        </w:rPr>
      </w:pPr>
    </w:p>
    <w:p w14:paraId="1B05CE77" w14:textId="5CBC9478" w:rsidR="002C36FC" w:rsidRPr="00CC3978" w:rsidRDefault="002C36FC" w:rsidP="009D3667">
      <w:pPr>
        <w:jc w:val="left"/>
        <w:rPr>
          <w:rFonts w:ascii="Verdana" w:hAnsi="Verdana"/>
        </w:rPr>
      </w:pPr>
    </w:p>
    <w:p w14:paraId="4998971D" w14:textId="04A496D6" w:rsidR="002C36FC" w:rsidRPr="00CC3978" w:rsidRDefault="002C36FC" w:rsidP="009D3667">
      <w:pPr>
        <w:jc w:val="left"/>
        <w:rPr>
          <w:rFonts w:ascii="Verdana" w:hAnsi="Verdana"/>
        </w:rPr>
      </w:pPr>
    </w:p>
    <w:p w14:paraId="393B3821" w14:textId="047B0076" w:rsidR="002C36FC" w:rsidRPr="00CC3978" w:rsidRDefault="002C36FC" w:rsidP="009D3667">
      <w:pPr>
        <w:jc w:val="left"/>
        <w:rPr>
          <w:rFonts w:ascii="Verdana" w:hAnsi="Verdana"/>
        </w:rPr>
      </w:pPr>
    </w:p>
    <w:p w14:paraId="7DCD506E" w14:textId="30790E23" w:rsidR="002C36FC" w:rsidRPr="00CC3978" w:rsidRDefault="002C36FC" w:rsidP="009D3667">
      <w:pPr>
        <w:jc w:val="left"/>
        <w:rPr>
          <w:rFonts w:ascii="Verdana" w:hAnsi="Verdana"/>
        </w:rPr>
      </w:pPr>
    </w:p>
    <w:p w14:paraId="2F200F4F" w14:textId="69B57452" w:rsidR="002C36FC" w:rsidRPr="00CC3978" w:rsidRDefault="002C36FC" w:rsidP="009D3667">
      <w:pPr>
        <w:jc w:val="left"/>
        <w:rPr>
          <w:rFonts w:ascii="Verdana" w:hAnsi="Verdana"/>
        </w:rPr>
      </w:pPr>
    </w:p>
    <w:p w14:paraId="713C6167" w14:textId="45599FF9" w:rsidR="002C36FC" w:rsidRPr="00CC3978" w:rsidRDefault="002C36FC" w:rsidP="009D3667">
      <w:pPr>
        <w:jc w:val="left"/>
        <w:rPr>
          <w:rFonts w:ascii="Verdana" w:hAnsi="Verdana"/>
        </w:rPr>
      </w:pPr>
    </w:p>
    <w:p w14:paraId="1A5AF371" w14:textId="2E1678C5" w:rsidR="002C36FC" w:rsidRPr="00CC3978" w:rsidRDefault="002C36FC" w:rsidP="009D3667">
      <w:pPr>
        <w:jc w:val="left"/>
        <w:rPr>
          <w:rFonts w:ascii="Verdana" w:hAnsi="Verdana"/>
        </w:rPr>
      </w:pPr>
    </w:p>
    <w:p w14:paraId="2F23EAE5" w14:textId="3602C2C8" w:rsidR="002C36FC" w:rsidRPr="00CC3978" w:rsidRDefault="002C36FC" w:rsidP="009D3667">
      <w:pPr>
        <w:jc w:val="left"/>
        <w:rPr>
          <w:rFonts w:ascii="Verdana" w:hAnsi="Verdana"/>
        </w:rPr>
      </w:pPr>
    </w:p>
    <w:p w14:paraId="22F73498" w14:textId="129D4516" w:rsidR="002C36FC" w:rsidRPr="00CC3978" w:rsidRDefault="002C36FC" w:rsidP="009D3667">
      <w:pPr>
        <w:jc w:val="left"/>
        <w:rPr>
          <w:rFonts w:ascii="Verdana" w:hAnsi="Verdana"/>
        </w:rPr>
      </w:pPr>
    </w:p>
    <w:p w14:paraId="3670139E" w14:textId="2AC8EE06" w:rsidR="002C36FC" w:rsidRPr="00CC3978" w:rsidRDefault="002C36FC" w:rsidP="009D3667">
      <w:pPr>
        <w:jc w:val="left"/>
        <w:rPr>
          <w:rFonts w:ascii="Verdana" w:hAnsi="Verdana"/>
        </w:rPr>
      </w:pPr>
    </w:p>
    <w:p w14:paraId="79601366" w14:textId="5F56EBB6" w:rsidR="002C36FC" w:rsidRPr="00CC3978" w:rsidRDefault="002C36FC" w:rsidP="009D3667">
      <w:pPr>
        <w:jc w:val="left"/>
        <w:rPr>
          <w:rFonts w:ascii="Verdana" w:hAnsi="Verdana"/>
        </w:rPr>
      </w:pPr>
    </w:p>
    <w:p w14:paraId="249D81E1" w14:textId="1BEC8A82" w:rsidR="002C36FC" w:rsidRPr="00CC3978" w:rsidRDefault="002C36FC" w:rsidP="009D3667">
      <w:pPr>
        <w:jc w:val="left"/>
        <w:rPr>
          <w:rFonts w:ascii="Verdana" w:hAnsi="Verdana"/>
        </w:rPr>
      </w:pPr>
    </w:p>
    <w:p w14:paraId="5C8A569F" w14:textId="7806B519" w:rsidR="002C36FC" w:rsidRPr="00CC3978" w:rsidRDefault="002C36FC" w:rsidP="009D3667">
      <w:pPr>
        <w:jc w:val="left"/>
        <w:rPr>
          <w:rFonts w:ascii="Verdana" w:hAnsi="Verdana"/>
        </w:rPr>
      </w:pPr>
    </w:p>
    <w:p w14:paraId="345E66A9" w14:textId="58EAF6D9" w:rsidR="002C36FC" w:rsidRPr="00CC3978" w:rsidRDefault="002C36FC" w:rsidP="009D3667">
      <w:pPr>
        <w:jc w:val="left"/>
        <w:rPr>
          <w:rFonts w:ascii="Verdana" w:hAnsi="Verdana"/>
        </w:rPr>
      </w:pPr>
    </w:p>
    <w:p w14:paraId="0549376A" w14:textId="23BF373C" w:rsidR="003F05DB" w:rsidRPr="00CC3978" w:rsidRDefault="003F05DB" w:rsidP="003F05DB">
      <w:pPr>
        <w:jc w:val="center"/>
        <w:rPr>
          <w:rFonts w:ascii="Verdana" w:hAnsi="Verdana"/>
          <w:b/>
        </w:rPr>
      </w:pPr>
      <w:r w:rsidRPr="00CC3978">
        <w:rPr>
          <w:rFonts w:ascii="Verdana" w:hAnsi="Verdana"/>
          <w:b/>
        </w:rPr>
        <w:t xml:space="preserve">Schedule </w:t>
      </w:r>
      <w:r w:rsidR="001B40C1" w:rsidRPr="00CC3978">
        <w:rPr>
          <w:rFonts w:ascii="Verdana" w:hAnsi="Verdana"/>
          <w:b/>
        </w:rPr>
        <w:t>1</w:t>
      </w:r>
    </w:p>
    <w:p w14:paraId="1A602CEE" w14:textId="14CA3851" w:rsidR="003F05DB" w:rsidRPr="00CC3978" w:rsidRDefault="003F05DB" w:rsidP="003F05DB">
      <w:pPr>
        <w:jc w:val="center"/>
        <w:rPr>
          <w:rFonts w:ascii="Verdana" w:hAnsi="Verdana"/>
          <w:b/>
        </w:rPr>
      </w:pPr>
    </w:p>
    <w:p w14:paraId="2CDF3CFD" w14:textId="68D9D9EB" w:rsidR="003F05DB" w:rsidRPr="00CC3978" w:rsidRDefault="003F05DB" w:rsidP="003F05DB">
      <w:pPr>
        <w:jc w:val="center"/>
        <w:rPr>
          <w:rFonts w:ascii="Verdana" w:hAnsi="Verdana"/>
          <w:b/>
        </w:rPr>
      </w:pPr>
      <w:r w:rsidRPr="00CC3978">
        <w:rPr>
          <w:rFonts w:ascii="Verdana" w:hAnsi="Verdana"/>
          <w:b/>
        </w:rPr>
        <w:lastRenderedPageBreak/>
        <w:t>Remuneration Policy</w:t>
      </w:r>
    </w:p>
    <w:p w14:paraId="0889E970" w14:textId="77ECC587" w:rsidR="003F05DB" w:rsidRPr="00CC3978" w:rsidRDefault="003F05DB" w:rsidP="003F05DB">
      <w:pPr>
        <w:jc w:val="center"/>
        <w:rPr>
          <w:rFonts w:ascii="Verdana" w:hAnsi="Verdana"/>
          <w:b/>
        </w:rPr>
      </w:pPr>
    </w:p>
    <w:p w14:paraId="5162B5B1" w14:textId="77AAF3DE" w:rsidR="003F05DB" w:rsidRPr="00CC3978" w:rsidRDefault="003F05DB" w:rsidP="003F05DB">
      <w:pPr>
        <w:rPr>
          <w:rFonts w:ascii="Verdana" w:hAnsi="Verdana"/>
        </w:rPr>
      </w:pPr>
      <w:r w:rsidRPr="00CC3978">
        <w:rPr>
          <w:rFonts w:ascii="Verdana" w:hAnsi="Verdana"/>
        </w:rPr>
        <w:t>The following wording will be included in the prospectus:</w:t>
      </w:r>
    </w:p>
    <w:p w14:paraId="745A7E96" w14:textId="063F2032" w:rsidR="003F05DB" w:rsidRPr="00CC3978" w:rsidRDefault="003F05DB" w:rsidP="003F05DB">
      <w:pPr>
        <w:rPr>
          <w:rFonts w:ascii="Verdana" w:hAnsi="Verdana"/>
        </w:rPr>
      </w:pPr>
    </w:p>
    <w:p w14:paraId="15CF2590" w14:textId="2AFCB456" w:rsidR="0085178B" w:rsidRPr="00CC3978" w:rsidRDefault="0085178B" w:rsidP="0085178B">
      <w:pPr>
        <w:tabs>
          <w:tab w:val="num" w:pos="1843"/>
        </w:tabs>
        <w:rPr>
          <w:rFonts w:ascii="Verdana" w:hAnsi="Verdana"/>
          <w:i/>
        </w:rPr>
      </w:pPr>
      <w:r w:rsidRPr="00CC3978">
        <w:rPr>
          <w:rFonts w:ascii="Verdana" w:hAnsi="Verdana"/>
          <w:i/>
        </w:rPr>
        <w:t xml:space="preserve">The ACD has established and applies a remuneration policy, procedure and practice (together, the </w:t>
      </w:r>
      <w:r w:rsidRPr="00CC3978">
        <w:rPr>
          <w:rFonts w:ascii="Verdana" w:hAnsi="Verdana"/>
          <w:b/>
          <w:bCs/>
          <w:i/>
        </w:rPr>
        <w:t>Remuneration Policy</w:t>
      </w:r>
      <w:r w:rsidRPr="00CC3978">
        <w:rPr>
          <w:rFonts w:ascii="Verdana" w:hAnsi="Verdana"/>
          <w:i/>
        </w:rPr>
        <w:t>) which is consistent with, and promotes, sound and effective risk management, and does not encourage risk-taking that is inconsistent with the risk profile</w:t>
      </w:r>
      <w:r w:rsidR="00561AFF" w:rsidRPr="00CC3978">
        <w:rPr>
          <w:rFonts w:ascii="Verdana" w:hAnsi="Verdana"/>
          <w:i/>
        </w:rPr>
        <w:t xml:space="preserve"> </w:t>
      </w:r>
      <w:r w:rsidRPr="00CC3978">
        <w:rPr>
          <w:rFonts w:ascii="Verdana" w:hAnsi="Verdana"/>
          <w:i/>
        </w:rPr>
        <w:t xml:space="preserve">or the </w:t>
      </w:r>
      <w:r w:rsidR="00561AFF" w:rsidRPr="00CC3978">
        <w:rPr>
          <w:rFonts w:ascii="Verdana" w:hAnsi="Verdana"/>
          <w:i/>
        </w:rPr>
        <w:t>Instrument of Incorporation</w:t>
      </w:r>
      <w:r w:rsidRPr="00CC3978">
        <w:rPr>
          <w:rFonts w:ascii="Verdana" w:hAnsi="Verdana"/>
          <w:i/>
        </w:rPr>
        <w:t xml:space="preserve">.  The Remuneration Policy applies to staff whose professional activities have a material impact on the risk profile of the ACD or the </w:t>
      </w:r>
      <w:r w:rsidR="00561AFF" w:rsidRPr="00CC3978">
        <w:rPr>
          <w:rFonts w:ascii="Verdana" w:hAnsi="Verdana"/>
          <w:i/>
        </w:rPr>
        <w:t>Company</w:t>
      </w:r>
      <w:r w:rsidRPr="00CC3978">
        <w:rPr>
          <w:rFonts w:ascii="Verdana" w:hAnsi="Verdana"/>
          <w:i/>
        </w:rPr>
        <w:t xml:space="preserve">.  The Remuneration Policy does not impair compliance with the </w:t>
      </w:r>
      <w:r w:rsidR="00561AFF" w:rsidRPr="00CC3978">
        <w:rPr>
          <w:rFonts w:ascii="Verdana" w:hAnsi="Verdana"/>
          <w:i/>
        </w:rPr>
        <w:t>ACD’s</w:t>
      </w:r>
      <w:r w:rsidRPr="00CC3978">
        <w:rPr>
          <w:rFonts w:ascii="Verdana" w:hAnsi="Verdana"/>
          <w:i/>
        </w:rPr>
        <w:t xml:space="preserve"> duty to act in the best interests of the </w:t>
      </w:r>
      <w:r w:rsidR="00561AFF" w:rsidRPr="00CC3978">
        <w:rPr>
          <w:rFonts w:ascii="Verdana" w:hAnsi="Verdana"/>
          <w:i/>
        </w:rPr>
        <w:t>Company</w:t>
      </w:r>
      <w:r w:rsidRPr="00CC3978">
        <w:rPr>
          <w:rFonts w:ascii="Verdana" w:hAnsi="Verdana"/>
          <w:i/>
        </w:rPr>
        <w:t xml:space="preserve">.  </w:t>
      </w:r>
    </w:p>
    <w:p w14:paraId="3B9F10BF" w14:textId="77777777" w:rsidR="00561AFF" w:rsidRPr="00CC3978" w:rsidRDefault="00561AFF" w:rsidP="0085178B">
      <w:pPr>
        <w:tabs>
          <w:tab w:val="num" w:pos="1843"/>
        </w:tabs>
        <w:rPr>
          <w:rFonts w:ascii="Verdana" w:hAnsi="Verdana"/>
          <w:i/>
        </w:rPr>
      </w:pPr>
    </w:p>
    <w:p w14:paraId="46E0B425" w14:textId="44DB1F77" w:rsidR="0085178B" w:rsidRPr="0085178B" w:rsidRDefault="0085178B" w:rsidP="0085178B">
      <w:pPr>
        <w:tabs>
          <w:tab w:val="num" w:pos="1843"/>
        </w:tabs>
        <w:rPr>
          <w:rFonts w:ascii="Verdana" w:hAnsi="Verdana"/>
          <w:i/>
        </w:rPr>
      </w:pPr>
      <w:r w:rsidRPr="00CC3978">
        <w:rPr>
          <w:rFonts w:ascii="Verdana" w:hAnsi="Verdana"/>
          <w:i/>
        </w:rPr>
        <w:t xml:space="preserve">Details of the up-to-date Remuneration Policy including, but not limited to, a description of how remuneration and benefits are calculated and the identity of persons responsible for awarding the remuneration and benefits, including the composition of the remuneration committee, are available on </w:t>
      </w:r>
      <w:hyperlink r:id="rId13" w:history="1">
        <w:r w:rsidRPr="00CC3978">
          <w:rPr>
            <w:rStyle w:val="Hyperlink"/>
            <w:rFonts w:ascii="Verdana" w:hAnsi="Verdana"/>
            <w:i/>
          </w:rPr>
          <w:t>www.tutman.co.uk</w:t>
        </w:r>
      </w:hyperlink>
      <w:r w:rsidRPr="00CC3978">
        <w:rPr>
          <w:rFonts w:ascii="Verdana" w:hAnsi="Verdana"/>
          <w:i/>
        </w:rPr>
        <w:t xml:space="preserve"> and a paper copy of such information can be obtained, free of charge, upon request at the offices of the </w:t>
      </w:r>
      <w:r w:rsidR="00561AFF" w:rsidRPr="00CC3978">
        <w:rPr>
          <w:rFonts w:ascii="Verdana" w:hAnsi="Verdana"/>
          <w:i/>
        </w:rPr>
        <w:t>ACD</w:t>
      </w:r>
      <w:r w:rsidRPr="00CC3978">
        <w:rPr>
          <w:rFonts w:ascii="Verdana" w:hAnsi="Verdana"/>
          <w:i/>
        </w:rPr>
        <w:t>.</w:t>
      </w:r>
    </w:p>
    <w:p w14:paraId="3EC2C042" w14:textId="77777777" w:rsidR="003F05DB" w:rsidRPr="003F05DB" w:rsidRDefault="003F05DB" w:rsidP="003F05DB">
      <w:pPr>
        <w:rPr>
          <w:rFonts w:ascii="Verdana" w:hAnsi="Verdana"/>
        </w:rPr>
      </w:pPr>
    </w:p>
    <w:sectPr w:rsidR="003F05DB" w:rsidRPr="003F05DB" w:rsidSect="00015B98">
      <w:footerReference w:type="default" r:id="rId14"/>
      <w:footerReference w:type="first" r:id="rId15"/>
      <w:pgSz w:w="11906" w:h="16838" w:code="9"/>
      <w:pgMar w:top="1440" w:right="1646" w:bottom="1440" w:left="1699"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A82D5" w14:textId="77777777" w:rsidR="00E91AE5" w:rsidRDefault="00E91AE5">
      <w:r>
        <w:separator/>
      </w:r>
    </w:p>
  </w:endnote>
  <w:endnote w:type="continuationSeparator" w:id="0">
    <w:p w14:paraId="20E31B67" w14:textId="77777777" w:rsidR="00E91AE5" w:rsidRDefault="00E91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å®‹ä½“">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730C4" w14:textId="0D47ADAA" w:rsidR="006D702E" w:rsidRDefault="006D702E" w:rsidP="00753473">
    <w:pPr>
      <w:pStyle w:val="Footer"/>
      <w:tabs>
        <w:tab w:val="clear" w:pos="4240"/>
        <w:tab w:val="clear" w:pos="8460"/>
        <w:tab w:val="center" w:pos="4280"/>
        <w:tab w:val="right" w:pos="8561"/>
      </w:tabs>
      <w:jc w:val="right"/>
      <w:rPr>
        <w:rFonts w:cs="Arial"/>
      </w:rPr>
    </w:pPr>
    <w:r>
      <w:rPr>
        <w:rFonts w:cs="Arial"/>
        <w:noProof/>
      </w:rPr>
      <mc:AlternateContent>
        <mc:Choice Requires="wps">
          <w:drawing>
            <wp:anchor distT="0" distB="0" distL="114300" distR="114300" simplePos="0" relativeHeight="251659264" behindDoc="0" locked="0" layoutInCell="0" allowOverlap="1" wp14:anchorId="4A2BBABF" wp14:editId="1E8A4436">
              <wp:simplePos x="0" y="0"/>
              <wp:positionH relativeFrom="page">
                <wp:posOffset>0</wp:posOffset>
              </wp:positionH>
              <wp:positionV relativeFrom="page">
                <wp:posOffset>10234930</wp:posOffset>
              </wp:positionV>
              <wp:extent cx="7560310" cy="266700"/>
              <wp:effectExtent l="0" t="0" r="0" b="0"/>
              <wp:wrapNone/>
              <wp:docPr id="1" name="MSIPCMc0cc4cf8bc98c9a49e951275" descr="{&quot;HashCode&quot;:-92919692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B1284F" w14:textId="2B74C5BA" w:rsidR="006D702E" w:rsidRPr="00066903" w:rsidRDefault="006D702E" w:rsidP="00066903">
                          <w:pPr>
                            <w:jc w:val="left"/>
                            <w:rPr>
                              <w:rFonts w:ascii="Calibri" w:hAnsi="Calibri" w:cs="Calibri"/>
                              <w:color w:val="FFFFFF"/>
                              <w:sz w:val="2"/>
                            </w:rPr>
                          </w:pPr>
                          <w:r w:rsidRPr="00066903">
                            <w:rPr>
                              <w:rFonts w:ascii="Calibri" w:hAnsi="Calibri" w:cs="Calibri"/>
                              <w:color w:val="FFFFFF"/>
                              <w:sz w:val="2"/>
                            </w:rPr>
                            <w:t>C2 - Internal Natixis</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A2BBABF" id="_x0000_t202" coordsize="21600,21600" o:spt="202" path="m,l,21600r21600,l21600,xe">
              <v:stroke joinstyle="miter"/>
              <v:path gradientshapeok="t" o:connecttype="rect"/>
            </v:shapetype>
            <v:shape id="MSIPCMc0cc4cf8bc98c9a49e951275" o:spid="_x0000_s1026" type="#_x0000_t202" alt="{&quot;HashCode&quot;:-929196920,&quot;Height&quot;:841.0,&quot;Width&quot;:595.0,&quot;Placement&quot;:&quot;Footer&quot;,&quot;Index&quot;:&quot;Primary&quot;,&quot;Section&quot;:1,&quot;Top&quot;:0.0,&quot;Left&quot;:0.0}" style="position:absolute;left:0;text-align:left;margin-left:0;margin-top:805.9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" o:allowincell="f" filled="f" stroked="f" strokeweight=".5pt">
              <v:textbox inset="20pt,0,,0">
                <w:txbxContent>
                  <w:p w14:paraId="1EB1284F" w14:textId="2B74C5BA" w:rsidR="006D702E" w:rsidRPr="00066903" w:rsidRDefault="006D702E" w:rsidP="00066903">
                    <w:pPr>
                      <w:jc w:val="left"/>
                      <w:rPr>
                        <w:rFonts w:ascii="Calibri" w:hAnsi="Calibri" w:cs="Calibri"/>
                        <w:color w:val="FFFFFF"/>
                        <w:sz w:val="2"/>
                      </w:rPr>
                    </w:pPr>
                    <w:r w:rsidRPr="00066903">
                      <w:rPr>
                        <w:rFonts w:ascii="Calibri" w:hAnsi="Calibri" w:cs="Calibri"/>
                        <w:color w:val="FFFFFF"/>
                        <w:sz w:val="2"/>
                      </w:rPr>
                      <w:t>C2 - Internal Natixis</w:t>
                    </w:r>
                  </w:p>
                </w:txbxContent>
              </v:textbox>
              <w10:wrap anchorx="page" anchory="page"/>
            </v:shape>
          </w:pict>
        </mc:Fallback>
      </mc:AlternateContent>
    </w:r>
    <w:r w:rsidRPr="00753473">
      <w:rPr>
        <w:rFonts w:cs="Arial"/>
      </w:rPr>
      <w:tab/>
    </w:r>
    <w:r>
      <w:rPr>
        <w:rFonts w:cs="Arial"/>
      </w:rPr>
      <w:fldChar w:fldCharType="begin"/>
    </w:r>
    <w:r>
      <w:rPr>
        <w:rFonts w:cs="Arial"/>
      </w:rPr>
      <w:instrText xml:space="preserve"> PAGE  \* MERGEFORMAT </w:instrText>
    </w:r>
    <w:r>
      <w:rPr>
        <w:rFonts w:cs="Arial"/>
      </w:rPr>
      <w:fldChar w:fldCharType="separate"/>
    </w:r>
    <w:r w:rsidR="00BD1847">
      <w:rPr>
        <w:rFonts w:cs="Arial"/>
        <w:noProof/>
      </w:rPr>
      <w:t>3</w:t>
    </w:r>
    <w:r>
      <w:rPr>
        <w:rFonts w:cs="Arial"/>
      </w:rPr>
      <w:fldChar w:fldCharType="end"/>
    </w:r>
    <w:r w:rsidRPr="00753473">
      <w:rPr>
        <w:rFonts w:cs="Arial"/>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53307" w14:textId="60D1BC01" w:rsidR="006D702E" w:rsidRDefault="006D702E" w:rsidP="00753473">
    <w:pPr>
      <w:pStyle w:val="Footer"/>
      <w:tabs>
        <w:tab w:val="clear" w:pos="4240"/>
        <w:tab w:val="clear" w:pos="8460"/>
        <w:tab w:val="center" w:pos="4280"/>
        <w:tab w:val="right" w:pos="8561"/>
      </w:tabs>
      <w:jc w:val="right"/>
      <w:rPr>
        <w:rFonts w:cs="Arial"/>
      </w:rPr>
    </w:pPr>
    <w:r>
      <w:rPr>
        <w:rFonts w:cs="Arial"/>
        <w:noProof/>
      </w:rPr>
      <mc:AlternateContent>
        <mc:Choice Requires="wps">
          <w:drawing>
            <wp:anchor distT="0" distB="0" distL="114300" distR="114300" simplePos="0" relativeHeight="251660288" behindDoc="0" locked="0" layoutInCell="0" allowOverlap="1" wp14:anchorId="273D671A" wp14:editId="02411612">
              <wp:simplePos x="0" y="0"/>
              <wp:positionH relativeFrom="page">
                <wp:posOffset>0</wp:posOffset>
              </wp:positionH>
              <wp:positionV relativeFrom="page">
                <wp:posOffset>10234930</wp:posOffset>
              </wp:positionV>
              <wp:extent cx="7560310" cy="266700"/>
              <wp:effectExtent l="0" t="0" r="0" b="0"/>
              <wp:wrapNone/>
              <wp:docPr id="2" name="MSIPCM23e84ff695daf3f665373331" descr="{&quot;HashCode&quot;:-929196920,&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1AB218" w14:textId="46A4D681" w:rsidR="006D702E" w:rsidRPr="00066903" w:rsidRDefault="006D702E" w:rsidP="00066903">
                          <w:pPr>
                            <w:jc w:val="left"/>
                            <w:rPr>
                              <w:rFonts w:ascii="Calibri" w:hAnsi="Calibri" w:cs="Calibri"/>
                              <w:color w:val="FFFFFF"/>
                              <w:sz w:val="2"/>
                            </w:rPr>
                          </w:pPr>
                          <w:r w:rsidRPr="00066903">
                            <w:rPr>
                              <w:rFonts w:ascii="Calibri" w:hAnsi="Calibri" w:cs="Calibri"/>
                              <w:color w:val="FFFFFF"/>
                              <w:sz w:val="2"/>
                            </w:rPr>
                            <w:t>C2 - Internal Natixis</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73D671A" id="_x0000_t202" coordsize="21600,21600" o:spt="202" path="m,l,21600r21600,l21600,xe">
              <v:stroke joinstyle="miter"/>
              <v:path gradientshapeok="t" o:connecttype="rect"/>
            </v:shapetype>
            <v:shape id="MSIPCM23e84ff695daf3f665373331" o:spid="_x0000_s1027" type="#_x0000_t202" alt="{&quot;HashCode&quot;:-929196920,&quot;Height&quot;:841.0,&quot;Width&quot;:595.0,&quot;Placement&quot;:&quot;Footer&quot;,&quot;Index&quot;:&quot;FirstPage&quot;,&quot;Section&quot;:1,&quot;Top&quot;:0.0,&quot;Left&quot;:0.0}" style="position:absolute;left:0;text-align:left;margin-left:0;margin-top:805.9pt;width:595.3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" o:allowincell="f" filled="f" stroked="f" strokeweight=".5pt">
              <v:textbox inset="20pt,0,,0">
                <w:txbxContent>
                  <w:p w14:paraId="141AB218" w14:textId="46A4D681" w:rsidR="006D702E" w:rsidRPr="00066903" w:rsidRDefault="006D702E" w:rsidP="00066903">
                    <w:pPr>
                      <w:jc w:val="left"/>
                      <w:rPr>
                        <w:rFonts w:ascii="Calibri" w:hAnsi="Calibri" w:cs="Calibri"/>
                        <w:color w:val="FFFFFF"/>
                        <w:sz w:val="2"/>
                      </w:rPr>
                    </w:pPr>
                    <w:r w:rsidRPr="00066903">
                      <w:rPr>
                        <w:rFonts w:ascii="Calibri" w:hAnsi="Calibri" w:cs="Calibri"/>
                        <w:color w:val="FFFFFF"/>
                        <w:sz w:val="2"/>
                      </w:rPr>
                      <w:t>C2 - Internal Natixis</w:t>
                    </w:r>
                  </w:p>
                </w:txbxContent>
              </v:textbox>
              <w10:wrap anchorx="page" anchory="page"/>
            </v:shape>
          </w:pict>
        </mc:Fallback>
      </mc:AlternateContent>
    </w:r>
    <w:r w:rsidRPr="00753473">
      <w:rPr>
        <w:rFonts w:cs="Arial"/>
      </w:rPr>
      <w:tab/>
    </w:r>
    <w:r>
      <w:rPr>
        <w:rFonts w:cs="Arial"/>
      </w:rPr>
      <w:fldChar w:fldCharType="begin"/>
    </w:r>
    <w:r>
      <w:rPr>
        <w:rFonts w:cs="Arial"/>
      </w:rPr>
      <w:instrText xml:space="preserve"> PAGE  \* MERGEFORMAT </w:instrText>
    </w:r>
    <w:r>
      <w:rPr>
        <w:rFonts w:cs="Arial"/>
      </w:rPr>
      <w:fldChar w:fldCharType="separate"/>
    </w:r>
    <w:r w:rsidR="00BD1847">
      <w:rPr>
        <w:rFonts w:cs="Arial"/>
        <w:noProof/>
      </w:rPr>
      <w:t>1</w:t>
    </w:r>
    <w:r>
      <w:rPr>
        <w:rFonts w:cs="Arial"/>
      </w:rPr>
      <w:fldChar w:fldCharType="end"/>
    </w:r>
    <w:r w:rsidRPr="00753473">
      <w:rPr>
        <w:rFonts w:cs="Aria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66B28" w14:textId="77777777" w:rsidR="00E91AE5" w:rsidRDefault="00E91AE5">
      <w:r>
        <w:separator/>
      </w:r>
    </w:p>
  </w:footnote>
  <w:footnote w:type="continuationSeparator" w:id="0">
    <w:p w14:paraId="23F54E28" w14:textId="77777777" w:rsidR="00E91AE5" w:rsidRDefault="00E91A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520A9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3AB231E"/>
    <w:multiLevelType w:val="hybridMultilevel"/>
    <w:tmpl w:val="D4B8447A"/>
    <w:lvl w:ilvl="0" w:tplc="B2A0385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8D2829"/>
    <w:multiLevelType w:val="multilevel"/>
    <w:tmpl w:val="CEDEDA2C"/>
    <w:lvl w:ilvl="0">
      <w:start w:val="1"/>
      <w:numFmt w:val="decimal"/>
      <w:pStyle w:val="Heading1"/>
      <w:lvlText w:val="%1."/>
      <w:lvlJc w:val="left"/>
      <w:pPr>
        <w:tabs>
          <w:tab w:val="num" w:pos="720"/>
        </w:tabs>
        <w:ind w:left="720" w:hanging="720"/>
      </w:pPr>
      <w:rPr>
        <w:rFonts w:cs="Times New Roman" w:hint="default"/>
        <w:b/>
      </w:rPr>
    </w:lvl>
    <w:lvl w:ilvl="1">
      <w:start w:val="1"/>
      <w:numFmt w:val="decimal"/>
      <w:pStyle w:val="Heading2"/>
      <w:lvlText w:val="%1.%2"/>
      <w:lvlJc w:val="left"/>
      <w:pPr>
        <w:tabs>
          <w:tab w:val="num" w:pos="720"/>
        </w:tabs>
        <w:ind w:left="720" w:hanging="720"/>
      </w:pPr>
      <w:rPr>
        <w:rFonts w:cs="Times New Roman" w:hint="default"/>
        <w:b w:val="0"/>
      </w:rPr>
    </w:lvl>
    <w:lvl w:ilvl="2">
      <w:start w:val="1"/>
      <w:numFmt w:val="decimal"/>
      <w:pStyle w:val="Heading3"/>
      <w:lvlText w:val="%1.%2.%3"/>
      <w:lvlJc w:val="left"/>
      <w:pPr>
        <w:tabs>
          <w:tab w:val="num" w:pos="1728"/>
        </w:tabs>
        <w:ind w:left="1728" w:hanging="1008"/>
      </w:pPr>
      <w:rPr>
        <w:rFonts w:cs="Times New Roman" w:hint="default"/>
        <w:b w:val="0"/>
      </w:rPr>
    </w:lvl>
    <w:lvl w:ilvl="3">
      <w:start w:val="1"/>
      <w:numFmt w:val="lowerLetter"/>
      <w:pStyle w:val="Heading4"/>
      <w:lvlText w:val="(%4)"/>
      <w:lvlJc w:val="left"/>
      <w:pPr>
        <w:tabs>
          <w:tab w:val="num" w:pos="2448"/>
        </w:tabs>
        <w:ind w:left="2448" w:hanging="720"/>
      </w:pPr>
      <w:rPr>
        <w:rFonts w:cs="Times New Roman" w:hint="default"/>
      </w:rPr>
    </w:lvl>
    <w:lvl w:ilvl="4">
      <w:start w:val="1"/>
      <w:numFmt w:val="lowerRoman"/>
      <w:pStyle w:val="Heading5"/>
      <w:lvlText w:val="(%5)"/>
      <w:lvlJc w:val="left"/>
      <w:pPr>
        <w:tabs>
          <w:tab w:val="num" w:pos="3168"/>
        </w:tabs>
        <w:ind w:left="3168" w:hanging="720"/>
      </w:pPr>
      <w:rPr>
        <w:rFonts w:cs="Times New Roman" w:hint="default"/>
      </w:rPr>
    </w:lvl>
    <w:lvl w:ilvl="5">
      <w:start w:val="1"/>
      <w:numFmt w:val="upperLetter"/>
      <w:lvlText w:val="(%6)"/>
      <w:lvlJc w:val="left"/>
      <w:pPr>
        <w:tabs>
          <w:tab w:val="num" w:pos="2268"/>
        </w:tabs>
        <w:ind w:left="2268" w:hanging="567"/>
      </w:pPr>
      <w:rPr>
        <w:rFonts w:cs="Times New Roman" w:hint="default"/>
      </w:rPr>
    </w:lvl>
    <w:lvl w:ilvl="6">
      <w:start w:val="1"/>
      <w:numFmt w:val="decimal"/>
      <w:lvlText w:val="%7)"/>
      <w:lvlJc w:val="left"/>
      <w:pPr>
        <w:tabs>
          <w:tab w:val="num" w:pos="2835"/>
        </w:tabs>
        <w:ind w:left="2835" w:hanging="567"/>
      </w:pPr>
      <w:rPr>
        <w:rFonts w:cs="Times New Roman" w:hint="default"/>
      </w:rPr>
    </w:lvl>
    <w:lvl w:ilvl="7">
      <w:start w:val="1"/>
      <w:numFmt w:val="lowerLetter"/>
      <w:lvlText w:val="%8)"/>
      <w:lvlJc w:val="left"/>
      <w:pPr>
        <w:tabs>
          <w:tab w:val="num" w:pos="3402"/>
        </w:tabs>
        <w:ind w:left="3402" w:hanging="567"/>
      </w:pPr>
      <w:rPr>
        <w:rFonts w:cs="Times New Roman" w:hint="default"/>
      </w:rPr>
    </w:lvl>
    <w:lvl w:ilvl="8">
      <w:start w:val="1"/>
      <w:numFmt w:val="lowerRoman"/>
      <w:lvlText w:val="%9)"/>
      <w:lvlJc w:val="left"/>
      <w:pPr>
        <w:tabs>
          <w:tab w:val="num" w:pos="4122"/>
        </w:tabs>
        <w:ind w:left="3969" w:hanging="567"/>
      </w:pPr>
      <w:rPr>
        <w:rFonts w:cs="Times New Roman" w:hint="default"/>
      </w:rPr>
    </w:lvl>
  </w:abstractNum>
  <w:abstractNum w:abstractNumId="3" w15:restartNumberingAfterBreak="0">
    <w:nsid w:val="387934B5"/>
    <w:multiLevelType w:val="hybridMultilevel"/>
    <w:tmpl w:val="FF285B58"/>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8FE1A02"/>
    <w:multiLevelType w:val="hybridMultilevel"/>
    <w:tmpl w:val="89DAEC8E"/>
    <w:lvl w:ilvl="0" w:tplc="BF081A68">
      <w:numFmt w:val="bullet"/>
      <w:lvlText w:val="-"/>
      <w:lvlJc w:val="left"/>
      <w:pPr>
        <w:ind w:left="360" w:hanging="360"/>
      </w:pPr>
      <w:rPr>
        <w:rFonts w:ascii="Verdana" w:eastAsia="Times New Roman" w:hAnsi="Verdan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F05412A"/>
    <w:multiLevelType w:val="hybridMultilevel"/>
    <w:tmpl w:val="D954E53E"/>
    <w:lvl w:ilvl="0" w:tplc="5B3C830E">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3646AFA"/>
    <w:multiLevelType w:val="hybridMultilevel"/>
    <w:tmpl w:val="5D70FCC0"/>
    <w:lvl w:ilvl="0" w:tplc="B2A0385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9BD6F37"/>
    <w:multiLevelType w:val="hybridMultilevel"/>
    <w:tmpl w:val="E0EC7B9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C6304E8"/>
    <w:multiLevelType w:val="multilevel"/>
    <w:tmpl w:val="F022F424"/>
    <w:lvl w:ilvl="0">
      <w:start w:val="1"/>
      <w:numFmt w:val="decimal"/>
      <w:pStyle w:val="Level1"/>
      <w:lvlText w:val="%1"/>
      <w:lvlJc w:val="left"/>
      <w:pPr>
        <w:tabs>
          <w:tab w:val="num" w:pos="720"/>
        </w:tabs>
        <w:ind w:left="720" w:hanging="720"/>
      </w:pPr>
      <w:rPr>
        <w:caps w:val="0"/>
        <w:strike w:val="0"/>
        <w:dstrike w:val="0"/>
        <w:vanish w:val="0"/>
        <w:color w:val="auto"/>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720"/>
        </w:tabs>
        <w:ind w:left="720" w:hanging="720"/>
      </w:pPr>
      <w:rPr>
        <w:caps w:val="0"/>
        <w:strike w:val="0"/>
        <w:dstrike w:val="0"/>
        <w:vanish w:val="0"/>
        <w:color w:val="auto"/>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Level3"/>
      <w:lvlText w:val="(%3)"/>
      <w:lvlJc w:val="left"/>
      <w:pPr>
        <w:tabs>
          <w:tab w:val="num" w:pos="1440"/>
        </w:tabs>
        <w:ind w:left="144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Level4"/>
      <w:lvlText w:val="(%4)"/>
      <w:lvlJc w:val="left"/>
      <w:pPr>
        <w:tabs>
          <w:tab w:val="num" w:pos="2160"/>
        </w:tabs>
        <w:ind w:left="216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Level5"/>
      <w:lvlText w:val="(%5)"/>
      <w:lvlJc w:val="left"/>
      <w:pPr>
        <w:tabs>
          <w:tab w:val="num" w:pos="2880"/>
        </w:tabs>
        <w:ind w:left="288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evel6"/>
      <w:lvlText w:val="%6)"/>
      <w:lvlJc w:val="left"/>
      <w:pPr>
        <w:tabs>
          <w:tab w:val="num" w:pos="3600"/>
        </w:tabs>
        <w:ind w:left="360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5C9C2695"/>
    <w:multiLevelType w:val="multilevel"/>
    <w:tmpl w:val="54688696"/>
    <w:lvl w:ilvl="0">
      <w:start w:val="1"/>
      <w:numFmt w:val="decimal"/>
      <w:pStyle w:val="Schedule"/>
      <w:suff w:val="nothing"/>
      <w:lvlText w:val="Schedule %1"/>
      <w:lvlJc w:val="left"/>
      <w:pPr>
        <w:tabs>
          <w:tab w:val="num" w:pos="0"/>
        </w:tabs>
        <w:ind w:left="0" w:firstLine="0"/>
      </w:pPr>
      <w:rPr>
        <w:b/>
        <w:i w:val="0"/>
        <w:u w:val="single"/>
      </w:rPr>
    </w:lvl>
    <w:lvl w:ilvl="1">
      <w:start w:val="1"/>
      <w:numFmt w:val="decimal"/>
      <w:lvlRestart w:val="0"/>
      <w:pStyle w:val="Appendix"/>
      <w:suff w:val="nothing"/>
      <w:lvlText w:val="Appendix %2"/>
      <w:lvlJc w:val="left"/>
      <w:pPr>
        <w:tabs>
          <w:tab w:val="num" w:pos="0"/>
        </w:tabs>
        <w:ind w:left="0" w:firstLine="0"/>
      </w:pPr>
      <w:rPr>
        <w:b/>
        <w:i w:val="0"/>
        <w:u w:val="single"/>
      </w:rPr>
    </w:lvl>
    <w:lvl w:ilvl="2">
      <w:start w:val="1"/>
      <w:numFmt w:val="upperLetter"/>
      <w:pStyle w:val="Part"/>
      <w:suff w:val="nothing"/>
      <w:lvlText w:val="Part %3"/>
      <w:lvlJc w:val="left"/>
      <w:pPr>
        <w:tabs>
          <w:tab w:val="num" w:pos="0"/>
        </w:tabs>
        <w:ind w:left="0" w:firstLine="0"/>
      </w:pPr>
      <w:rPr>
        <w:u w:val="singl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F5D3CD4"/>
    <w:multiLevelType w:val="multilevel"/>
    <w:tmpl w:val="C876DDD4"/>
    <w:lvl w:ilvl="0">
      <w:start w:val="1"/>
      <w:numFmt w:val="bullet"/>
      <w:pStyle w:val="Bullet1"/>
      <w:lvlText w:val=""/>
      <w:lvlJc w:val="left"/>
      <w:pPr>
        <w:tabs>
          <w:tab w:val="num" w:pos="720"/>
        </w:tabs>
        <w:ind w:left="720" w:hanging="720"/>
      </w:pPr>
      <w:rPr>
        <w:rFonts w:ascii="Symbol" w:hAnsi="Symbol"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Bullet2"/>
      <w:lvlText w:val=""/>
      <w:lvlJc w:val="left"/>
      <w:pPr>
        <w:tabs>
          <w:tab w:val="num" w:pos="1440"/>
        </w:tabs>
        <w:ind w:left="1440" w:hanging="720"/>
      </w:pPr>
      <w:rPr>
        <w:rFonts w:ascii="Symbol" w:hAnsi="Symbol"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Bullet3"/>
      <w:lvlText w:val=""/>
      <w:lvlJc w:val="left"/>
      <w:pPr>
        <w:tabs>
          <w:tab w:val="num" w:pos="2160"/>
        </w:tabs>
        <w:ind w:left="2160" w:hanging="720"/>
      </w:pPr>
      <w:rPr>
        <w:rFonts w:ascii="Symbol" w:hAnsi="Symbol"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Bullet4"/>
      <w:lvlText w:val=""/>
      <w:lvlJc w:val="left"/>
      <w:pPr>
        <w:tabs>
          <w:tab w:val="num" w:pos="2880"/>
        </w:tabs>
        <w:ind w:left="2880" w:hanging="720"/>
      </w:pPr>
      <w:rPr>
        <w:rFonts w:ascii="Symbol" w:hAnsi="Symbol"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Bullet5"/>
      <w:lvlText w:val=""/>
      <w:lvlJc w:val="left"/>
      <w:pPr>
        <w:tabs>
          <w:tab w:val="num" w:pos="3600"/>
        </w:tabs>
        <w:ind w:left="3600" w:hanging="720"/>
      </w:pPr>
      <w:rPr>
        <w:rFonts w:ascii="Symbol" w:hAnsi="Symbol"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pStyle w:val="Bullet6"/>
      <w:lvlText w:val=""/>
      <w:lvlJc w:val="left"/>
      <w:pPr>
        <w:tabs>
          <w:tab w:val="num" w:pos="4320"/>
        </w:tabs>
        <w:ind w:left="4320" w:hanging="720"/>
      </w:pPr>
      <w:rPr>
        <w:rFonts w:ascii="Symbol" w:hAnsi="Symbol"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pStyle w:val="Bullet7"/>
      <w:lvlText w:val=""/>
      <w:lvlJc w:val="left"/>
      <w:pPr>
        <w:tabs>
          <w:tab w:val="num" w:pos="5040"/>
        </w:tabs>
        <w:ind w:left="5040" w:hanging="720"/>
      </w:pPr>
      <w:rPr>
        <w:rFonts w:ascii="Symbol" w:hAnsi="Symbol"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pStyle w:val="Bullet8"/>
      <w:lvlText w:val=""/>
      <w:lvlJc w:val="left"/>
      <w:pPr>
        <w:tabs>
          <w:tab w:val="num" w:pos="5760"/>
        </w:tabs>
        <w:ind w:left="5760" w:hanging="720"/>
      </w:pPr>
      <w:rPr>
        <w:rFonts w:ascii="Symbol" w:hAnsi="Symbol"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pStyle w:val="Bullet9"/>
      <w:lvlText w:val=""/>
      <w:lvlJc w:val="left"/>
      <w:pPr>
        <w:tabs>
          <w:tab w:val="num" w:pos="6480"/>
        </w:tabs>
        <w:ind w:left="6480" w:hanging="720"/>
      </w:pPr>
      <w:rPr>
        <w:rFonts w:ascii="Symbol" w:hAnsi="Symbol"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62787184"/>
    <w:multiLevelType w:val="multilevel"/>
    <w:tmpl w:val="34ACF83C"/>
    <w:lvl w:ilvl="0">
      <w:start w:val="1"/>
      <w:numFmt w:val="decimal"/>
      <w:lvlText w:val="%1."/>
      <w:lvlJc w:val="left"/>
      <w:pPr>
        <w:tabs>
          <w:tab w:val="num" w:pos="851"/>
        </w:tabs>
        <w:ind w:left="851" w:hanging="851"/>
      </w:pPr>
      <w:rPr>
        <w:rFonts w:hint="default"/>
        <w:b w:val="0"/>
        <w:i w:val="0"/>
        <w:u w:val="none"/>
      </w:rPr>
    </w:lvl>
    <w:lvl w:ilvl="1">
      <w:start w:val="1"/>
      <w:numFmt w:val="decimal"/>
      <w:lvlText w:val="%1.%2"/>
      <w:lvlJc w:val="left"/>
      <w:pPr>
        <w:tabs>
          <w:tab w:val="num" w:pos="851"/>
        </w:tabs>
        <w:ind w:left="851" w:hanging="851"/>
      </w:pPr>
      <w:rPr>
        <w:rFonts w:hint="default"/>
        <w:b w:val="0"/>
        <w:i w:val="0"/>
        <w:u w:val="none"/>
      </w:rPr>
    </w:lvl>
    <w:lvl w:ilvl="2">
      <w:start w:val="1"/>
      <w:numFmt w:val="decimal"/>
      <w:lvlText w:val="%1.%2.%3"/>
      <w:lvlJc w:val="left"/>
      <w:pPr>
        <w:tabs>
          <w:tab w:val="num" w:pos="1843"/>
        </w:tabs>
        <w:ind w:left="1843" w:hanging="992"/>
      </w:pPr>
      <w:rPr>
        <w:rFonts w:hint="default"/>
        <w:b w:val="0"/>
        <w:i w:val="0"/>
        <w:u w:val="none"/>
      </w:rPr>
    </w:lvl>
    <w:lvl w:ilvl="3">
      <w:start w:val="1"/>
      <w:numFmt w:val="decimal"/>
      <w:lvlText w:val="%1.%2.%3.%4"/>
      <w:lvlJc w:val="left"/>
      <w:pPr>
        <w:tabs>
          <w:tab w:val="num" w:pos="3119"/>
        </w:tabs>
        <w:ind w:left="3119" w:hanging="1276"/>
      </w:pPr>
      <w:rPr>
        <w:rFonts w:hint="default"/>
        <w:b w:val="0"/>
        <w:i w:val="0"/>
        <w:u w:val="none"/>
      </w:rPr>
    </w:lvl>
    <w:lvl w:ilvl="4">
      <w:start w:val="1"/>
      <w:numFmt w:val="lowerLetter"/>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12" w15:restartNumberingAfterBreak="0">
    <w:nsid w:val="63243312"/>
    <w:multiLevelType w:val="hybridMultilevel"/>
    <w:tmpl w:val="D954E53E"/>
    <w:lvl w:ilvl="0" w:tplc="5B3C830E">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762703F"/>
    <w:multiLevelType w:val="hybridMultilevel"/>
    <w:tmpl w:val="D376DB9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78411C"/>
    <w:multiLevelType w:val="hybridMultilevel"/>
    <w:tmpl w:val="57A25842"/>
    <w:lvl w:ilvl="0" w:tplc="B2A0385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AB304A6"/>
    <w:multiLevelType w:val="hybridMultilevel"/>
    <w:tmpl w:val="B6B49ECE"/>
    <w:lvl w:ilvl="0" w:tplc="B2A0385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E1D6115"/>
    <w:multiLevelType w:val="hybridMultilevel"/>
    <w:tmpl w:val="A6800942"/>
    <w:lvl w:ilvl="0" w:tplc="FCA867D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41325934">
    <w:abstractNumId w:val="9"/>
  </w:num>
  <w:num w:numId="2" w16cid:durableId="1265307355">
    <w:abstractNumId w:val="8"/>
  </w:num>
  <w:num w:numId="3" w16cid:durableId="1683167642">
    <w:abstractNumId w:val="10"/>
  </w:num>
  <w:num w:numId="4" w16cid:durableId="215817715">
    <w:abstractNumId w:val="4"/>
  </w:num>
  <w:num w:numId="5" w16cid:durableId="458112466">
    <w:abstractNumId w:val="11"/>
  </w:num>
  <w:num w:numId="6" w16cid:durableId="1701513542">
    <w:abstractNumId w:val="16"/>
  </w:num>
  <w:num w:numId="7" w16cid:durableId="64308158">
    <w:abstractNumId w:val="15"/>
  </w:num>
  <w:num w:numId="8" w16cid:durableId="130832574">
    <w:abstractNumId w:val="1"/>
  </w:num>
  <w:num w:numId="9" w16cid:durableId="1664042854">
    <w:abstractNumId w:val="7"/>
  </w:num>
  <w:num w:numId="10" w16cid:durableId="570236589">
    <w:abstractNumId w:val="2"/>
  </w:num>
  <w:num w:numId="11" w16cid:durableId="654183344">
    <w:abstractNumId w:val="8"/>
  </w:num>
  <w:num w:numId="12" w16cid:durableId="1649703201">
    <w:abstractNumId w:val="8"/>
  </w:num>
  <w:num w:numId="13" w16cid:durableId="1509633579">
    <w:abstractNumId w:val="13"/>
  </w:num>
  <w:num w:numId="14" w16cid:durableId="1492939348">
    <w:abstractNumId w:val="8"/>
  </w:num>
  <w:num w:numId="15" w16cid:durableId="36391422">
    <w:abstractNumId w:val="8"/>
  </w:num>
  <w:num w:numId="16" w16cid:durableId="1562475973">
    <w:abstractNumId w:val="8"/>
  </w:num>
  <w:num w:numId="17" w16cid:durableId="744452339">
    <w:abstractNumId w:val="8"/>
  </w:num>
  <w:num w:numId="18" w16cid:durableId="446631261">
    <w:abstractNumId w:val="8"/>
  </w:num>
  <w:num w:numId="19" w16cid:durableId="1797749849">
    <w:abstractNumId w:val="0"/>
  </w:num>
  <w:num w:numId="20" w16cid:durableId="1089814248">
    <w:abstractNumId w:val="3"/>
  </w:num>
  <w:num w:numId="21" w16cid:durableId="500780788">
    <w:abstractNumId w:val="12"/>
  </w:num>
  <w:num w:numId="22" w16cid:durableId="1446805493">
    <w:abstractNumId w:val="5"/>
  </w:num>
  <w:num w:numId="23" w16cid:durableId="1867714213">
    <w:abstractNumId w:val="14"/>
  </w:num>
  <w:num w:numId="24" w16cid:durableId="12947467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GS_Brand" w:val="1"/>
    <w:docVar w:name="BS_AllUpdated" w:val="True"/>
    <w:docVar w:name="BS_DocClass" w:val="CON"/>
    <w:docVar w:name="BS_DocClassDescr" w:val="Confidential"/>
    <w:docVar w:name="BS_iManage" w:val="True"/>
    <w:docVar w:name="BS_XP" w:val="True"/>
    <w:docVar w:name="Bullet _Body" w:val="Body"/>
    <w:docVar w:name="Bullet _ChangeTime" w:val="38202.47"/>
    <w:docVar w:name="Bullet _HeadSuf" w:val="as Heading (text)"/>
    <w:docVar w:name="Bullet _LongName" w:val="Burges Salmon Bullets"/>
    <w:docVar w:name="Bullet _NumBodies" w:val="0"/>
    <w:docVar w:name="formatNumber" w:val="11"/>
    <w:docVar w:name="Level _Body" w:val="Body"/>
    <w:docVar w:name="Level _ChangeTime" w:val="38198.36"/>
    <w:docVar w:name="Level _HeadSuf" w:val="as Heading (text)"/>
    <w:docVar w:name="Level _LongName" w:val="Burges Salmon Numbering"/>
    <w:docVar w:name="Level _NumBodies" w:val="6"/>
    <w:docVar w:name="Level HCR1" w:val="-1"/>
    <w:docVar w:name="Level HCR2" w:val="-1"/>
    <w:docVar w:name="Level HCR3" w:val="0"/>
    <w:docVar w:name="Level HCR4" w:val="0"/>
    <w:docVar w:name="Level HKWN1" w:val="-1"/>
    <w:docVar w:name="Level HKWN2" w:val="-1"/>
    <w:docVar w:name="Level HKWN3" w:val="-1"/>
    <w:docVar w:name="Level HKWN4" w:val="-1"/>
  </w:docVars>
  <w:rsids>
    <w:rsidRoot w:val="002016DF"/>
    <w:rsid w:val="00001C0E"/>
    <w:rsid w:val="00012478"/>
    <w:rsid w:val="00015B98"/>
    <w:rsid w:val="00032242"/>
    <w:rsid w:val="0003352A"/>
    <w:rsid w:val="00042DFF"/>
    <w:rsid w:val="0004625E"/>
    <w:rsid w:val="00050E52"/>
    <w:rsid w:val="000608D8"/>
    <w:rsid w:val="00060B92"/>
    <w:rsid w:val="000611A1"/>
    <w:rsid w:val="00064CD6"/>
    <w:rsid w:val="00066903"/>
    <w:rsid w:val="000679A5"/>
    <w:rsid w:val="0007093F"/>
    <w:rsid w:val="000736F3"/>
    <w:rsid w:val="00074360"/>
    <w:rsid w:val="00094871"/>
    <w:rsid w:val="000972A6"/>
    <w:rsid w:val="000A0333"/>
    <w:rsid w:val="000D4B59"/>
    <w:rsid w:val="000E4345"/>
    <w:rsid w:val="000E473D"/>
    <w:rsid w:val="000E6D0F"/>
    <w:rsid w:val="000F03B1"/>
    <w:rsid w:val="000F055B"/>
    <w:rsid w:val="000F1BB6"/>
    <w:rsid w:val="000F37C5"/>
    <w:rsid w:val="000F7560"/>
    <w:rsid w:val="00104E22"/>
    <w:rsid w:val="00106999"/>
    <w:rsid w:val="00114789"/>
    <w:rsid w:val="00117CF2"/>
    <w:rsid w:val="00122907"/>
    <w:rsid w:val="001244FB"/>
    <w:rsid w:val="00133E30"/>
    <w:rsid w:val="00134161"/>
    <w:rsid w:val="00142120"/>
    <w:rsid w:val="00143651"/>
    <w:rsid w:val="00162164"/>
    <w:rsid w:val="0018618B"/>
    <w:rsid w:val="0019160E"/>
    <w:rsid w:val="001B350F"/>
    <w:rsid w:val="001B40C1"/>
    <w:rsid w:val="001B6938"/>
    <w:rsid w:val="001B7F53"/>
    <w:rsid w:val="001C3242"/>
    <w:rsid w:val="001C3246"/>
    <w:rsid w:val="001C34BF"/>
    <w:rsid w:val="001C3F0D"/>
    <w:rsid w:val="001D3897"/>
    <w:rsid w:val="002016DF"/>
    <w:rsid w:val="00205D85"/>
    <w:rsid w:val="0020704D"/>
    <w:rsid w:val="0024413D"/>
    <w:rsid w:val="00261376"/>
    <w:rsid w:val="00264DE2"/>
    <w:rsid w:val="00276FED"/>
    <w:rsid w:val="002852C4"/>
    <w:rsid w:val="00295B3B"/>
    <w:rsid w:val="002A4237"/>
    <w:rsid w:val="002A4D43"/>
    <w:rsid w:val="002B3921"/>
    <w:rsid w:val="002B3AD5"/>
    <w:rsid w:val="002C0F33"/>
    <w:rsid w:val="002C36FC"/>
    <w:rsid w:val="002C37C8"/>
    <w:rsid w:val="002D23E1"/>
    <w:rsid w:val="002D500E"/>
    <w:rsid w:val="002E4480"/>
    <w:rsid w:val="002E4806"/>
    <w:rsid w:val="002E63A2"/>
    <w:rsid w:val="002F0111"/>
    <w:rsid w:val="00301B97"/>
    <w:rsid w:val="0030368A"/>
    <w:rsid w:val="00305FA1"/>
    <w:rsid w:val="0032725A"/>
    <w:rsid w:val="00330BDA"/>
    <w:rsid w:val="00333E24"/>
    <w:rsid w:val="00342CF1"/>
    <w:rsid w:val="003474CB"/>
    <w:rsid w:val="003578EF"/>
    <w:rsid w:val="00362EB3"/>
    <w:rsid w:val="003724DA"/>
    <w:rsid w:val="003919AC"/>
    <w:rsid w:val="003A1FCB"/>
    <w:rsid w:val="003A2F4D"/>
    <w:rsid w:val="003B1848"/>
    <w:rsid w:val="003B4F70"/>
    <w:rsid w:val="003C2B1A"/>
    <w:rsid w:val="003D1F26"/>
    <w:rsid w:val="003E53DC"/>
    <w:rsid w:val="003F05DB"/>
    <w:rsid w:val="003F12F1"/>
    <w:rsid w:val="003F5EDA"/>
    <w:rsid w:val="00401F28"/>
    <w:rsid w:val="004036B8"/>
    <w:rsid w:val="004041F0"/>
    <w:rsid w:val="00404690"/>
    <w:rsid w:val="00425DDF"/>
    <w:rsid w:val="0042699F"/>
    <w:rsid w:val="00427724"/>
    <w:rsid w:val="00450D23"/>
    <w:rsid w:val="004550FC"/>
    <w:rsid w:val="004816FE"/>
    <w:rsid w:val="004818FD"/>
    <w:rsid w:val="00485AB4"/>
    <w:rsid w:val="00496CA1"/>
    <w:rsid w:val="004A48A2"/>
    <w:rsid w:val="004A7966"/>
    <w:rsid w:val="004B2B92"/>
    <w:rsid w:val="004B62E5"/>
    <w:rsid w:val="004C15E7"/>
    <w:rsid w:val="004C20F7"/>
    <w:rsid w:val="004D0EB2"/>
    <w:rsid w:val="004D2664"/>
    <w:rsid w:val="004D3A9E"/>
    <w:rsid w:val="004D62A6"/>
    <w:rsid w:val="00501237"/>
    <w:rsid w:val="00512EB4"/>
    <w:rsid w:val="005131AE"/>
    <w:rsid w:val="00521591"/>
    <w:rsid w:val="0052323C"/>
    <w:rsid w:val="00525847"/>
    <w:rsid w:val="005271A4"/>
    <w:rsid w:val="00531D80"/>
    <w:rsid w:val="00535791"/>
    <w:rsid w:val="005371BC"/>
    <w:rsid w:val="00541226"/>
    <w:rsid w:val="0055738A"/>
    <w:rsid w:val="00561AFF"/>
    <w:rsid w:val="005703B7"/>
    <w:rsid w:val="005834F3"/>
    <w:rsid w:val="00595FC3"/>
    <w:rsid w:val="005A2D25"/>
    <w:rsid w:val="005C59F9"/>
    <w:rsid w:val="005C611E"/>
    <w:rsid w:val="005D634A"/>
    <w:rsid w:val="005D70A0"/>
    <w:rsid w:val="005E2C85"/>
    <w:rsid w:val="005E46F7"/>
    <w:rsid w:val="005E4AC8"/>
    <w:rsid w:val="005F6BD8"/>
    <w:rsid w:val="006074A5"/>
    <w:rsid w:val="006179E0"/>
    <w:rsid w:val="006419AC"/>
    <w:rsid w:val="00653FCE"/>
    <w:rsid w:val="00667707"/>
    <w:rsid w:val="006701D8"/>
    <w:rsid w:val="00691D46"/>
    <w:rsid w:val="00697B8A"/>
    <w:rsid w:val="006A5C27"/>
    <w:rsid w:val="006A744B"/>
    <w:rsid w:val="006A7AED"/>
    <w:rsid w:val="006B1A38"/>
    <w:rsid w:val="006B3A90"/>
    <w:rsid w:val="006C6EB8"/>
    <w:rsid w:val="006D1342"/>
    <w:rsid w:val="006D702E"/>
    <w:rsid w:val="006F0A53"/>
    <w:rsid w:val="006F5AF5"/>
    <w:rsid w:val="0071497F"/>
    <w:rsid w:val="00716419"/>
    <w:rsid w:val="00717F2D"/>
    <w:rsid w:val="00721EA0"/>
    <w:rsid w:val="00723A1B"/>
    <w:rsid w:val="007328AB"/>
    <w:rsid w:val="007338AD"/>
    <w:rsid w:val="00741A90"/>
    <w:rsid w:val="00753473"/>
    <w:rsid w:val="0076467D"/>
    <w:rsid w:val="0077135B"/>
    <w:rsid w:val="00775A3E"/>
    <w:rsid w:val="00775B0F"/>
    <w:rsid w:val="00777270"/>
    <w:rsid w:val="007874BA"/>
    <w:rsid w:val="007925BF"/>
    <w:rsid w:val="007A1968"/>
    <w:rsid w:val="007A2593"/>
    <w:rsid w:val="007A3B13"/>
    <w:rsid w:val="007B0505"/>
    <w:rsid w:val="007B1811"/>
    <w:rsid w:val="007B25B3"/>
    <w:rsid w:val="007D51A7"/>
    <w:rsid w:val="007E69C4"/>
    <w:rsid w:val="007E72D4"/>
    <w:rsid w:val="007F3D1B"/>
    <w:rsid w:val="00804E91"/>
    <w:rsid w:val="00806F99"/>
    <w:rsid w:val="0080787E"/>
    <w:rsid w:val="008149D0"/>
    <w:rsid w:val="0081748C"/>
    <w:rsid w:val="008200E2"/>
    <w:rsid w:val="00820FE0"/>
    <w:rsid w:val="00825DB1"/>
    <w:rsid w:val="00831296"/>
    <w:rsid w:val="00834C34"/>
    <w:rsid w:val="00835901"/>
    <w:rsid w:val="00836FBC"/>
    <w:rsid w:val="0085178B"/>
    <w:rsid w:val="00853C93"/>
    <w:rsid w:val="008619F7"/>
    <w:rsid w:val="0087374C"/>
    <w:rsid w:val="008835CD"/>
    <w:rsid w:val="00884FEF"/>
    <w:rsid w:val="0089014A"/>
    <w:rsid w:val="00892C99"/>
    <w:rsid w:val="008A237F"/>
    <w:rsid w:val="008C0191"/>
    <w:rsid w:val="008C22DF"/>
    <w:rsid w:val="008C3BE7"/>
    <w:rsid w:val="008D30DD"/>
    <w:rsid w:val="008E24E0"/>
    <w:rsid w:val="008E2521"/>
    <w:rsid w:val="008E5E64"/>
    <w:rsid w:val="008F0A0D"/>
    <w:rsid w:val="00905274"/>
    <w:rsid w:val="009262AD"/>
    <w:rsid w:val="00935097"/>
    <w:rsid w:val="00940AB3"/>
    <w:rsid w:val="00941BA4"/>
    <w:rsid w:val="009435CC"/>
    <w:rsid w:val="00957DF7"/>
    <w:rsid w:val="009724F4"/>
    <w:rsid w:val="00973813"/>
    <w:rsid w:val="00982D86"/>
    <w:rsid w:val="009877B1"/>
    <w:rsid w:val="00987E79"/>
    <w:rsid w:val="009A5E8C"/>
    <w:rsid w:val="009B0EE5"/>
    <w:rsid w:val="009B5600"/>
    <w:rsid w:val="009C0A6E"/>
    <w:rsid w:val="009C1084"/>
    <w:rsid w:val="009D3667"/>
    <w:rsid w:val="009D7F43"/>
    <w:rsid w:val="009E34D0"/>
    <w:rsid w:val="009F0476"/>
    <w:rsid w:val="009F16C1"/>
    <w:rsid w:val="009F7A5B"/>
    <w:rsid w:val="00A04696"/>
    <w:rsid w:val="00A04C3E"/>
    <w:rsid w:val="00A06E61"/>
    <w:rsid w:val="00A133E7"/>
    <w:rsid w:val="00A13438"/>
    <w:rsid w:val="00A1468B"/>
    <w:rsid w:val="00A176D9"/>
    <w:rsid w:val="00A265B8"/>
    <w:rsid w:val="00A26F9C"/>
    <w:rsid w:val="00A41804"/>
    <w:rsid w:val="00A41EA9"/>
    <w:rsid w:val="00A421F1"/>
    <w:rsid w:val="00A53368"/>
    <w:rsid w:val="00A53D69"/>
    <w:rsid w:val="00A66988"/>
    <w:rsid w:val="00A679E7"/>
    <w:rsid w:val="00A7134F"/>
    <w:rsid w:val="00A7763B"/>
    <w:rsid w:val="00A81FC3"/>
    <w:rsid w:val="00A854EC"/>
    <w:rsid w:val="00A920AB"/>
    <w:rsid w:val="00AB1AD7"/>
    <w:rsid w:val="00AC5438"/>
    <w:rsid w:val="00AD0E99"/>
    <w:rsid w:val="00AD3AB8"/>
    <w:rsid w:val="00AD554A"/>
    <w:rsid w:val="00AD61C1"/>
    <w:rsid w:val="00AE0A89"/>
    <w:rsid w:val="00AE2039"/>
    <w:rsid w:val="00AE504D"/>
    <w:rsid w:val="00AE59C1"/>
    <w:rsid w:val="00AF0F96"/>
    <w:rsid w:val="00AF283E"/>
    <w:rsid w:val="00AF333F"/>
    <w:rsid w:val="00B01B29"/>
    <w:rsid w:val="00B07199"/>
    <w:rsid w:val="00B143DB"/>
    <w:rsid w:val="00B43811"/>
    <w:rsid w:val="00B50F4E"/>
    <w:rsid w:val="00B6569C"/>
    <w:rsid w:val="00B75746"/>
    <w:rsid w:val="00B7731C"/>
    <w:rsid w:val="00B86A81"/>
    <w:rsid w:val="00B908D0"/>
    <w:rsid w:val="00BC121A"/>
    <w:rsid w:val="00BC1570"/>
    <w:rsid w:val="00BC2B52"/>
    <w:rsid w:val="00BD1847"/>
    <w:rsid w:val="00C021BB"/>
    <w:rsid w:val="00C053E1"/>
    <w:rsid w:val="00C07AED"/>
    <w:rsid w:val="00C17344"/>
    <w:rsid w:val="00C22072"/>
    <w:rsid w:val="00C447DA"/>
    <w:rsid w:val="00C53791"/>
    <w:rsid w:val="00C6005A"/>
    <w:rsid w:val="00C87FA9"/>
    <w:rsid w:val="00CA2DCB"/>
    <w:rsid w:val="00CA7B11"/>
    <w:rsid w:val="00CB4A3D"/>
    <w:rsid w:val="00CC3978"/>
    <w:rsid w:val="00CC556E"/>
    <w:rsid w:val="00CD5B7A"/>
    <w:rsid w:val="00CF5E1B"/>
    <w:rsid w:val="00D0109D"/>
    <w:rsid w:val="00D137E6"/>
    <w:rsid w:val="00D23894"/>
    <w:rsid w:val="00D25936"/>
    <w:rsid w:val="00D313DB"/>
    <w:rsid w:val="00D324C8"/>
    <w:rsid w:val="00D40C7D"/>
    <w:rsid w:val="00D6064E"/>
    <w:rsid w:val="00D6412C"/>
    <w:rsid w:val="00D91BB4"/>
    <w:rsid w:val="00D94A95"/>
    <w:rsid w:val="00DA36D6"/>
    <w:rsid w:val="00DA75A9"/>
    <w:rsid w:val="00DD20F5"/>
    <w:rsid w:val="00DE0021"/>
    <w:rsid w:val="00DF2F28"/>
    <w:rsid w:val="00DF3954"/>
    <w:rsid w:val="00DF6EE8"/>
    <w:rsid w:val="00E00FBC"/>
    <w:rsid w:val="00E03106"/>
    <w:rsid w:val="00E1254F"/>
    <w:rsid w:val="00E13D5F"/>
    <w:rsid w:val="00E14C01"/>
    <w:rsid w:val="00E15944"/>
    <w:rsid w:val="00E175AD"/>
    <w:rsid w:val="00E41E07"/>
    <w:rsid w:val="00E4458F"/>
    <w:rsid w:val="00E464DA"/>
    <w:rsid w:val="00E50F51"/>
    <w:rsid w:val="00E540BA"/>
    <w:rsid w:val="00E65CC0"/>
    <w:rsid w:val="00E70E01"/>
    <w:rsid w:val="00E72B15"/>
    <w:rsid w:val="00E91AE5"/>
    <w:rsid w:val="00E9343F"/>
    <w:rsid w:val="00E9380B"/>
    <w:rsid w:val="00E95A86"/>
    <w:rsid w:val="00EA60E1"/>
    <w:rsid w:val="00EC1825"/>
    <w:rsid w:val="00EC7487"/>
    <w:rsid w:val="00ED5038"/>
    <w:rsid w:val="00ED6502"/>
    <w:rsid w:val="00EE4176"/>
    <w:rsid w:val="00EF73F6"/>
    <w:rsid w:val="00F06C6C"/>
    <w:rsid w:val="00F07B4B"/>
    <w:rsid w:val="00F116D0"/>
    <w:rsid w:val="00F13B55"/>
    <w:rsid w:val="00F14D6C"/>
    <w:rsid w:val="00F22B65"/>
    <w:rsid w:val="00F337B0"/>
    <w:rsid w:val="00F37448"/>
    <w:rsid w:val="00F573B6"/>
    <w:rsid w:val="00F74193"/>
    <w:rsid w:val="00F81D8E"/>
    <w:rsid w:val="00F864F6"/>
    <w:rsid w:val="00F93B91"/>
    <w:rsid w:val="00F94CAC"/>
    <w:rsid w:val="00FA6D04"/>
    <w:rsid w:val="00FB1967"/>
    <w:rsid w:val="00FB37E5"/>
    <w:rsid w:val="00FB3A0B"/>
    <w:rsid w:val="00FD64FE"/>
    <w:rsid w:val="00FF0FFB"/>
    <w:rsid w:val="00FF6C97"/>
    <w:rsid w:val="00FF727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F151D6"/>
  <w15:docId w15:val="{E5A2D7B3-EFE5-48E7-8A84-906E05E95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EE8"/>
    <w:pPr>
      <w:jc w:val="both"/>
    </w:pPr>
    <w:rPr>
      <w:rFonts w:ascii="Arial" w:hAnsi="Arial"/>
    </w:rPr>
  </w:style>
  <w:style w:type="paragraph" w:styleId="Heading1">
    <w:name w:val="heading 1"/>
    <w:basedOn w:val="BodyText"/>
    <w:next w:val="Heading2"/>
    <w:link w:val="Heading1Char"/>
    <w:uiPriority w:val="99"/>
    <w:qFormat/>
    <w:rsid w:val="00A06E61"/>
    <w:pPr>
      <w:keepNext/>
      <w:numPr>
        <w:numId w:val="10"/>
      </w:numPr>
      <w:spacing w:after="240" w:line="360" w:lineRule="auto"/>
      <w:outlineLvl w:val="0"/>
    </w:pPr>
    <w:rPr>
      <w:rFonts w:ascii="Verdana" w:hAnsi="Verdana"/>
      <w:b/>
    </w:rPr>
  </w:style>
  <w:style w:type="paragraph" w:styleId="Heading2">
    <w:name w:val="heading 2"/>
    <w:basedOn w:val="BodyText"/>
    <w:link w:val="Heading2Char"/>
    <w:uiPriority w:val="99"/>
    <w:qFormat/>
    <w:rsid w:val="00A06E61"/>
    <w:pPr>
      <w:numPr>
        <w:ilvl w:val="1"/>
        <w:numId w:val="10"/>
      </w:numPr>
      <w:spacing w:after="240" w:line="360" w:lineRule="auto"/>
      <w:outlineLvl w:val="1"/>
    </w:pPr>
    <w:rPr>
      <w:rFonts w:ascii="Verdana" w:hAnsi="Verdana"/>
    </w:rPr>
  </w:style>
  <w:style w:type="paragraph" w:styleId="Heading3">
    <w:name w:val="heading 3"/>
    <w:basedOn w:val="Heading2"/>
    <w:link w:val="Heading3Char"/>
    <w:uiPriority w:val="99"/>
    <w:qFormat/>
    <w:rsid w:val="00A06E61"/>
    <w:pPr>
      <w:numPr>
        <w:ilvl w:val="2"/>
      </w:numPr>
      <w:outlineLvl w:val="2"/>
    </w:pPr>
  </w:style>
  <w:style w:type="paragraph" w:styleId="Heading4">
    <w:name w:val="heading 4"/>
    <w:basedOn w:val="Heading3"/>
    <w:link w:val="Heading4Char"/>
    <w:uiPriority w:val="99"/>
    <w:qFormat/>
    <w:rsid w:val="00A06E61"/>
    <w:pPr>
      <w:numPr>
        <w:ilvl w:val="3"/>
      </w:numPr>
      <w:outlineLvl w:val="3"/>
    </w:pPr>
  </w:style>
  <w:style w:type="paragraph" w:styleId="Heading5">
    <w:name w:val="heading 5"/>
    <w:basedOn w:val="Heading4"/>
    <w:link w:val="Heading5Char"/>
    <w:uiPriority w:val="99"/>
    <w:qFormat/>
    <w:rsid w:val="00A06E61"/>
    <w:pPr>
      <w:numPr>
        <w:ilvl w:val="4"/>
      </w:numPr>
      <w:ind w:hanging="721"/>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A66988"/>
    <w:pPr>
      <w:spacing w:line="360" w:lineRule="auto"/>
    </w:pPr>
  </w:style>
  <w:style w:type="paragraph" w:styleId="FootnoteText">
    <w:name w:val="footnote text"/>
    <w:basedOn w:val="Normal"/>
    <w:semiHidden/>
    <w:rsid w:val="00A66988"/>
    <w:pPr>
      <w:spacing w:line="360" w:lineRule="auto"/>
    </w:pPr>
    <w:rPr>
      <w:sz w:val="16"/>
    </w:rPr>
  </w:style>
  <w:style w:type="character" w:styleId="EndnoteReference">
    <w:name w:val="endnote reference"/>
    <w:basedOn w:val="DefaultParagraphFont"/>
    <w:semiHidden/>
    <w:rsid w:val="00A66988"/>
    <w:rPr>
      <w:vertAlign w:val="superscript"/>
    </w:rPr>
  </w:style>
  <w:style w:type="character" w:styleId="FootnoteReference">
    <w:name w:val="footnote reference"/>
    <w:basedOn w:val="DefaultParagraphFont"/>
    <w:semiHidden/>
    <w:rsid w:val="00A66988"/>
    <w:rPr>
      <w:sz w:val="16"/>
      <w:vertAlign w:val="superscript"/>
    </w:rPr>
  </w:style>
  <w:style w:type="paragraph" w:customStyle="1" w:styleId="Body">
    <w:name w:val="Body"/>
    <w:basedOn w:val="Normal"/>
    <w:rsid w:val="001D3897"/>
    <w:pPr>
      <w:spacing w:after="220"/>
    </w:pPr>
  </w:style>
  <w:style w:type="paragraph" w:customStyle="1" w:styleId="Appendix">
    <w:name w:val="Appendix"/>
    <w:basedOn w:val="Body"/>
    <w:next w:val="SubHeading"/>
    <w:rsid w:val="00A66988"/>
    <w:pPr>
      <w:keepNext/>
      <w:numPr>
        <w:ilvl w:val="1"/>
        <w:numId w:val="1"/>
      </w:numPr>
      <w:tabs>
        <w:tab w:val="clear" w:pos="0"/>
      </w:tabs>
      <w:jc w:val="center"/>
    </w:pPr>
    <w:rPr>
      <w:b/>
      <w:u w:val="single"/>
    </w:rPr>
  </w:style>
  <w:style w:type="paragraph" w:customStyle="1" w:styleId="Part">
    <w:name w:val="Part"/>
    <w:basedOn w:val="Body"/>
    <w:next w:val="SubHeading"/>
    <w:rsid w:val="00A66988"/>
    <w:pPr>
      <w:keepNext/>
      <w:numPr>
        <w:ilvl w:val="2"/>
        <w:numId w:val="1"/>
      </w:numPr>
      <w:tabs>
        <w:tab w:val="clear" w:pos="0"/>
      </w:tabs>
      <w:jc w:val="center"/>
    </w:pPr>
    <w:rPr>
      <w:u w:val="single"/>
    </w:rPr>
  </w:style>
  <w:style w:type="paragraph" w:customStyle="1" w:styleId="Schedule">
    <w:name w:val="Schedule"/>
    <w:basedOn w:val="Body"/>
    <w:next w:val="SubHeading"/>
    <w:rsid w:val="00A66988"/>
    <w:pPr>
      <w:keepNext/>
      <w:numPr>
        <w:numId w:val="1"/>
      </w:numPr>
      <w:jc w:val="center"/>
    </w:pPr>
    <w:rPr>
      <w:b/>
      <w:u w:val="single"/>
    </w:rPr>
  </w:style>
  <w:style w:type="paragraph" w:customStyle="1" w:styleId="SubHeading">
    <w:name w:val="Sub Heading"/>
    <w:basedOn w:val="Body"/>
    <w:next w:val="Body"/>
    <w:rsid w:val="00A66988"/>
    <w:pPr>
      <w:keepNext/>
      <w:jc w:val="center"/>
    </w:pPr>
    <w:rPr>
      <w:u w:val="single"/>
    </w:rPr>
  </w:style>
  <w:style w:type="paragraph" w:styleId="Footer">
    <w:name w:val="footer"/>
    <w:basedOn w:val="Normal"/>
    <w:rsid w:val="00A66988"/>
    <w:pPr>
      <w:tabs>
        <w:tab w:val="center" w:pos="4240"/>
        <w:tab w:val="right" w:pos="8460"/>
      </w:tabs>
    </w:pPr>
    <w:rPr>
      <w:sz w:val="16"/>
    </w:rPr>
  </w:style>
  <w:style w:type="paragraph" w:styleId="Header">
    <w:name w:val="header"/>
    <w:basedOn w:val="Normal"/>
    <w:rsid w:val="00A66988"/>
    <w:rPr>
      <w:sz w:val="16"/>
    </w:rPr>
  </w:style>
  <w:style w:type="paragraph" w:styleId="TOC1">
    <w:name w:val="toc 1"/>
    <w:basedOn w:val="Normal"/>
    <w:next w:val="Normal"/>
    <w:semiHidden/>
    <w:rsid w:val="00A66988"/>
    <w:pPr>
      <w:tabs>
        <w:tab w:val="right" w:leader="dot" w:pos="8500"/>
      </w:tabs>
      <w:spacing w:before="240" w:line="360" w:lineRule="auto"/>
      <w:ind w:left="720" w:right="284" w:hanging="720"/>
    </w:pPr>
    <w:rPr>
      <w:caps/>
    </w:rPr>
  </w:style>
  <w:style w:type="paragraph" w:styleId="TOC2">
    <w:name w:val="toc 2"/>
    <w:basedOn w:val="TOC1"/>
    <w:next w:val="Normal"/>
    <w:semiHidden/>
    <w:rsid w:val="00A66988"/>
    <w:pPr>
      <w:spacing w:before="0"/>
      <w:ind w:left="1440" w:right="288"/>
    </w:pPr>
    <w:rPr>
      <w:caps w:val="0"/>
    </w:rPr>
  </w:style>
  <w:style w:type="paragraph" w:styleId="TOC3">
    <w:name w:val="toc 3"/>
    <w:basedOn w:val="TOC1"/>
    <w:next w:val="Normal"/>
    <w:semiHidden/>
    <w:rsid w:val="00A66988"/>
    <w:pPr>
      <w:spacing w:before="0"/>
      <w:ind w:left="2160" w:right="288"/>
    </w:pPr>
    <w:rPr>
      <w:caps w:val="0"/>
    </w:rPr>
  </w:style>
  <w:style w:type="paragraph" w:styleId="TOC4">
    <w:name w:val="toc 4"/>
    <w:basedOn w:val="TOC1"/>
    <w:next w:val="Normal"/>
    <w:semiHidden/>
    <w:rsid w:val="00A66988"/>
    <w:pPr>
      <w:ind w:left="0" w:right="288" w:firstLine="0"/>
    </w:pPr>
    <w:rPr>
      <w:caps w:val="0"/>
    </w:rPr>
  </w:style>
  <w:style w:type="paragraph" w:styleId="TOC5">
    <w:name w:val="toc 5"/>
    <w:basedOn w:val="TOC1"/>
    <w:next w:val="Normal"/>
    <w:semiHidden/>
    <w:rsid w:val="00A66988"/>
    <w:pPr>
      <w:spacing w:before="0"/>
      <w:ind w:right="288" w:firstLine="0"/>
    </w:pPr>
    <w:rPr>
      <w:caps w:val="0"/>
    </w:rPr>
  </w:style>
  <w:style w:type="paragraph" w:customStyle="1" w:styleId="Body1">
    <w:name w:val="Body 1"/>
    <w:basedOn w:val="Body"/>
    <w:rsid w:val="006B1A38"/>
    <w:pPr>
      <w:ind w:left="720"/>
    </w:pPr>
  </w:style>
  <w:style w:type="paragraph" w:customStyle="1" w:styleId="Level1">
    <w:name w:val="Level 1"/>
    <w:basedOn w:val="Body1"/>
    <w:rsid w:val="001D3897"/>
    <w:pPr>
      <w:numPr>
        <w:numId w:val="2"/>
      </w:numPr>
      <w:outlineLvl w:val="0"/>
    </w:pPr>
  </w:style>
  <w:style w:type="character" w:customStyle="1" w:styleId="Level1asHeadingtext">
    <w:name w:val="Level 1 as Heading (text)"/>
    <w:basedOn w:val="DefaultParagraphFont"/>
    <w:rsid w:val="00DF6EE8"/>
    <w:rPr>
      <w:rFonts w:ascii="Arial" w:hAnsi="Arial"/>
      <w:b/>
      <w:caps/>
    </w:rPr>
  </w:style>
  <w:style w:type="paragraph" w:customStyle="1" w:styleId="Body2">
    <w:name w:val="Body 2"/>
    <w:basedOn w:val="Body"/>
    <w:rsid w:val="006B1A38"/>
    <w:pPr>
      <w:ind w:left="720"/>
    </w:pPr>
  </w:style>
  <w:style w:type="paragraph" w:customStyle="1" w:styleId="Level2">
    <w:name w:val="Level 2"/>
    <w:basedOn w:val="Body2"/>
    <w:rsid w:val="001D3897"/>
    <w:pPr>
      <w:numPr>
        <w:ilvl w:val="1"/>
        <w:numId w:val="2"/>
      </w:numPr>
      <w:outlineLvl w:val="1"/>
    </w:pPr>
  </w:style>
  <w:style w:type="character" w:customStyle="1" w:styleId="Level2asHeadingtext">
    <w:name w:val="Level 2 as Heading (text)"/>
    <w:basedOn w:val="DefaultParagraphFont"/>
    <w:rsid w:val="00DF6EE8"/>
    <w:rPr>
      <w:rFonts w:ascii="Arial" w:hAnsi="Arial"/>
      <w:b/>
    </w:rPr>
  </w:style>
  <w:style w:type="paragraph" w:customStyle="1" w:styleId="Body3">
    <w:name w:val="Body 3"/>
    <w:basedOn w:val="Body"/>
    <w:rsid w:val="006B1A38"/>
    <w:pPr>
      <w:ind w:left="1440"/>
    </w:pPr>
  </w:style>
  <w:style w:type="paragraph" w:customStyle="1" w:styleId="Level3">
    <w:name w:val="Level 3"/>
    <w:basedOn w:val="Body3"/>
    <w:rsid w:val="001D3897"/>
    <w:pPr>
      <w:numPr>
        <w:ilvl w:val="2"/>
        <w:numId w:val="2"/>
      </w:numPr>
      <w:tabs>
        <w:tab w:val="left" w:pos="1440"/>
      </w:tabs>
      <w:outlineLvl w:val="2"/>
    </w:pPr>
  </w:style>
  <w:style w:type="character" w:customStyle="1" w:styleId="Level3asHeadingtext">
    <w:name w:val="Level 3 as Heading (text)"/>
    <w:basedOn w:val="DefaultParagraphFont"/>
    <w:rsid w:val="00DF6EE8"/>
    <w:rPr>
      <w:rFonts w:ascii="Arial" w:hAnsi="Arial"/>
      <w:u w:val="single"/>
    </w:rPr>
  </w:style>
  <w:style w:type="paragraph" w:customStyle="1" w:styleId="Body4">
    <w:name w:val="Body 4"/>
    <w:basedOn w:val="Body"/>
    <w:rsid w:val="006B1A38"/>
    <w:pPr>
      <w:ind w:left="2160"/>
    </w:pPr>
  </w:style>
  <w:style w:type="paragraph" w:customStyle="1" w:styleId="Level4">
    <w:name w:val="Level 4"/>
    <w:basedOn w:val="Body4"/>
    <w:rsid w:val="001D3897"/>
    <w:pPr>
      <w:numPr>
        <w:ilvl w:val="3"/>
        <w:numId w:val="2"/>
      </w:numPr>
      <w:tabs>
        <w:tab w:val="left" w:pos="2160"/>
      </w:tabs>
      <w:outlineLvl w:val="3"/>
    </w:pPr>
  </w:style>
  <w:style w:type="character" w:customStyle="1" w:styleId="Level4asHeadingtext">
    <w:name w:val="Level 4 as Heading (text)"/>
    <w:basedOn w:val="DefaultParagraphFont"/>
    <w:rsid w:val="00DF6EE8"/>
    <w:rPr>
      <w:rFonts w:ascii="Arial" w:hAnsi="Arial"/>
      <w:u w:val="single"/>
    </w:rPr>
  </w:style>
  <w:style w:type="paragraph" w:customStyle="1" w:styleId="Body5">
    <w:name w:val="Body 5"/>
    <w:basedOn w:val="Body"/>
    <w:rsid w:val="006B1A38"/>
    <w:pPr>
      <w:ind w:left="2880"/>
    </w:pPr>
  </w:style>
  <w:style w:type="paragraph" w:customStyle="1" w:styleId="Level5">
    <w:name w:val="Level 5"/>
    <w:basedOn w:val="Body5"/>
    <w:rsid w:val="001D3897"/>
    <w:pPr>
      <w:numPr>
        <w:ilvl w:val="4"/>
        <w:numId w:val="2"/>
      </w:numPr>
      <w:tabs>
        <w:tab w:val="left" w:pos="2880"/>
      </w:tabs>
      <w:outlineLvl w:val="4"/>
    </w:pPr>
  </w:style>
  <w:style w:type="paragraph" w:customStyle="1" w:styleId="Body6">
    <w:name w:val="Body 6"/>
    <w:basedOn w:val="Body"/>
    <w:rsid w:val="006B1A38"/>
    <w:pPr>
      <w:spacing w:line="360" w:lineRule="auto"/>
      <w:ind w:left="3600"/>
    </w:pPr>
  </w:style>
  <w:style w:type="paragraph" w:customStyle="1" w:styleId="Level6">
    <w:name w:val="Level 6"/>
    <w:basedOn w:val="Body6"/>
    <w:rsid w:val="001D3897"/>
    <w:pPr>
      <w:numPr>
        <w:ilvl w:val="5"/>
        <w:numId w:val="2"/>
      </w:numPr>
      <w:tabs>
        <w:tab w:val="left" w:pos="3600"/>
      </w:tabs>
      <w:spacing w:line="240" w:lineRule="auto"/>
      <w:outlineLvl w:val="5"/>
    </w:pPr>
  </w:style>
  <w:style w:type="paragraph" w:customStyle="1" w:styleId="Bullet1">
    <w:name w:val="Bullet 1"/>
    <w:basedOn w:val="Body"/>
    <w:rsid w:val="006A7AED"/>
    <w:pPr>
      <w:numPr>
        <w:numId w:val="3"/>
      </w:numPr>
      <w:tabs>
        <w:tab w:val="left" w:pos="720"/>
      </w:tabs>
      <w:outlineLvl w:val="0"/>
    </w:pPr>
  </w:style>
  <w:style w:type="paragraph" w:customStyle="1" w:styleId="Bullet2">
    <w:name w:val="Bullet 2"/>
    <w:basedOn w:val="Body"/>
    <w:rsid w:val="006A7AED"/>
    <w:pPr>
      <w:numPr>
        <w:ilvl w:val="1"/>
        <w:numId w:val="3"/>
      </w:numPr>
      <w:tabs>
        <w:tab w:val="left" w:pos="1440"/>
      </w:tabs>
      <w:outlineLvl w:val="1"/>
    </w:pPr>
  </w:style>
  <w:style w:type="paragraph" w:customStyle="1" w:styleId="Bullet3">
    <w:name w:val="Bullet 3"/>
    <w:basedOn w:val="Body"/>
    <w:rsid w:val="006A7AED"/>
    <w:pPr>
      <w:numPr>
        <w:ilvl w:val="2"/>
        <w:numId w:val="3"/>
      </w:numPr>
      <w:tabs>
        <w:tab w:val="left" w:pos="2160"/>
      </w:tabs>
      <w:outlineLvl w:val="2"/>
    </w:pPr>
  </w:style>
  <w:style w:type="paragraph" w:customStyle="1" w:styleId="Bullet4">
    <w:name w:val="Bullet 4"/>
    <w:basedOn w:val="Body"/>
    <w:rsid w:val="006A7AED"/>
    <w:pPr>
      <w:numPr>
        <w:ilvl w:val="3"/>
        <w:numId w:val="3"/>
      </w:numPr>
      <w:tabs>
        <w:tab w:val="left" w:pos="2880"/>
      </w:tabs>
      <w:outlineLvl w:val="3"/>
    </w:pPr>
  </w:style>
  <w:style w:type="paragraph" w:customStyle="1" w:styleId="Bullet5">
    <w:name w:val="Bullet 5"/>
    <w:basedOn w:val="Body"/>
    <w:rsid w:val="006A7AED"/>
    <w:pPr>
      <w:numPr>
        <w:ilvl w:val="4"/>
        <w:numId w:val="3"/>
      </w:numPr>
      <w:tabs>
        <w:tab w:val="left" w:pos="3600"/>
      </w:tabs>
      <w:outlineLvl w:val="4"/>
    </w:pPr>
  </w:style>
  <w:style w:type="paragraph" w:customStyle="1" w:styleId="Bullet6">
    <w:name w:val="Bullet 6"/>
    <w:basedOn w:val="Body"/>
    <w:rsid w:val="006A7AED"/>
    <w:pPr>
      <w:numPr>
        <w:ilvl w:val="5"/>
        <w:numId w:val="3"/>
      </w:numPr>
      <w:tabs>
        <w:tab w:val="left" w:pos="4320"/>
      </w:tabs>
      <w:outlineLvl w:val="5"/>
    </w:pPr>
  </w:style>
  <w:style w:type="paragraph" w:customStyle="1" w:styleId="Bullet7">
    <w:name w:val="Bullet 7"/>
    <w:basedOn w:val="Body"/>
    <w:rsid w:val="006A7AED"/>
    <w:pPr>
      <w:numPr>
        <w:ilvl w:val="6"/>
        <w:numId w:val="3"/>
      </w:numPr>
      <w:tabs>
        <w:tab w:val="left" w:pos="5040"/>
      </w:tabs>
      <w:outlineLvl w:val="6"/>
    </w:pPr>
  </w:style>
  <w:style w:type="paragraph" w:customStyle="1" w:styleId="Bullet8">
    <w:name w:val="Bullet 8"/>
    <w:basedOn w:val="Body"/>
    <w:rsid w:val="006A7AED"/>
    <w:pPr>
      <w:numPr>
        <w:ilvl w:val="7"/>
        <w:numId w:val="3"/>
      </w:numPr>
      <w:tabs>
        <w:tab w:val="left" w:pos="5760"/>
      </w:tabs>
      <w:outlineLvl w:val="7"/>
    </w:pPr>
  </w:style>
  <w:style w:type="paragraph" w:customStyle="1" w:styleId="Bullet9">
    <w:name w:val="Bullet 9"/>
    <w:basedOn w:val="Body"/>
    <w:rsid w:val="006A7AED"/>
    <w:pPr>
      <w:numPr>
        <w:ilvl w:val="8"/>
        <w:numId w:val="3"/>
      </w:numPr>
      <w:tabs>
        <w:tab w:val="left" w:pos="6480"/>
      </w:tabs>
      <w:outlineLvl w:val="8"/>
    </w:pPr>
  </w:style>
  <w:style w:type="paragraph" w:styleId="TOC6">
    <w:name w:val="toc 6"/>
    <w:basedOn w:val="Normal"/>
    <w:next w:val="Normal"/>
    <w:autoRedefine/>
    <w:uiPriority w:val="39"/>
    <w:semiHidden/>
    <w:unhideWhenUsed/>
    <w:rsid w:val="005834F3"/>
    <w:pPr>
      <w:spacing w:after="100"/>
      <w:ind w:left="1000"/>
    </w:pPr>
  </w:style>
  <w:style w:type="paragraph" w:styleId="BalloonText">
    <w:name w:val="Balloon Text"/>
    <w:basedOn w:val="Normal"/>
    <w:link w:val="BalloonTextChar"/>
    <w:uiPriority w:val="99"/>
    <w:semiHidden/>
    <w:unhideWhenUsed/>
    <w:rsid w:val="005834F3"/>
    <w:rPr>
      <w:rFonts w:ascii="Tahoma" w:hAnsi="Tahoma" w:cs="Tahoma"/>
      <w:sz w:val="16"/>
      <w:szCs w:val="16"/>
    </w:rPr>
  </w:style>
  <w:style w:type="character" w:customStyle="1" w:styleId="BalloonTextChar">
    <w:name w:val="Balloon Text Char"/>
    <w:basedOn w:val="DefaultParagraphFont"/>
    <w:link w:val="BalloonText"/>
    <w:uiPriority w:val="99"/>
    <w:semiHidden/>
    <w:rsid w:val="005834F3"/>
    <w:rPr>
      <w:rFonts w:ascii="Tahoma" w:hAnsi="Tahoma" w:cs="Tahoma"/>
      <w:sz w:val="16"/>
      <w:szCs w:val="16"/>
    </w:rPr>
  </w:style>
  <w:style w:type="table" w:customStyle="1" w:styleId="BurgesSalmonTable">
    <w:name w:val="Burges Salmon Table"/>
    <w:basedOn w:val="TableNormal"/>
    <w:uiPriority w:val="99"/>
    <w:rsid w:val="009F7A5B"/>
    <w:rPr>
      <w:rFonts w:ascii="Arial" w:hAnsi="Arial"/>
    </w:rPr>
    <w:tblPr>
      <w:tblStyleRowBandSize w:val="1"/>
      <w:tblStyleColBandSize w:val="1"/>
      <w:tblBorders>
        <w:top w:val="single" w:sz="12" w:space="0" w:color="DF1995" w:themeColor="text1"/>
        <w:insideH w:val="single" w:sz="8" w:space="0" w:color="FFFFFF"/>
        <w:insideV w:val="single" w:sz="8" w:space="0" w:color="FFFFFF"/>
      </w:tblBorders>
      <w:tblCellMar>
        <w:top w:w="57" w:type="dxa"/>
        <w:left w:w="57" w:type="dxa"/>
        <w:bottom w:w="57" w:type="dxa"/>
        <w:right w:w="57" w:type="dxa"/>
      </w:tblCellMar>
    </w:tblPr>
    <w:tcPr>
      <w:shd w:val="clear" w:color="auto" w:fill="CACED1" w:themeFill="background2" w:themeFillTint="66"/>
    </w:tcPr>
    <w:tblStylePr w:type="firstRow">
      <w:pPr>
        <w:wordWrap/>
        <w:spacing w:beforeLines="0" w:before="120" w:beforeAutospacing="0" w:afterLines="0" w:after="120" w:afterAutospacing="0"/>
      </w:pPr>
      <w:rPr>
        <w:rFonts w:ascii="Arial" w:hAnsi="Arial"/>
        <w:b/>
        <w:sz w:val="20"/>
      </w:rPr>
      <w:tblPr/>
      <w:tcPr>
        <w:shd w:val="clear" w:color="auto" w:fill="CACED1" w:themeFill="background2" w:themeFillTint="66"/>
      </w:tcPr>
    </w:tblStylePr>
    <w:tblStylePr w:type="lastRow">
      <w:rPr>
        <w:rFonts w:ascii="Arial" w:hAnsi="Arial"/>
        <w:b/>
        <w:sz w:val="20"/>
      </w:rPr>
      <w:tblPr/>
      <w:tcPr>
        <w:shd w:val="clear" w:color="auto" w:fill="CACED1" w:themeFill="background2" w:themeFillTint="66"/>
      </w:tcPr>
    </w:tblStylePr>
    <w:tblStylePr w:type="firstCol">
      <w:rPr>
        <w:rFonts w:ascii="Arial" w:hAnsi="Arial"/>
        <w:b/>
        <w:sz w:val="20"/>
      </w:rPr>
    </w:tblStylePr>
    <w:tblStylePr w:type="lastCol">
      <w:rPr>
        <w:rFonts w:ascii="Arial" w:hAnsi="Arial"/>
        <w:b/>
        <w:sz w:val="20"/>
      </w:rPr>
    </w:tblStylePr>
    <w:tblStylePr w:type="band1Vert">
      <w:rPr>
        <w:rFonts w:ascii="Arial" w:hAnsi="Arial"/>
        <w:sz w:val="20"/>
      </w:rPr>
    </w:tblStylePr>
    <w:tblStylePr w:type="band2Vert">
      <w:rPr>
        <w:rFonts w:ascii="Arial" w:hAnsi="Arial"/>
        <w:sz w:val="20"/>
      </w:rPr>
    </w:tblStylePr>
    <w:tblStylePr w:type="band1Horz">
      <w:pPr>
        <w:wordWrap/>
        <w:jc w:val="left"/>
      </w:pPr>
      <w:rPr>
        <w:rFonts w:ascii="Arial" w:hAnsi="Arial"/>
        <w:sz w:val="20"/>
      </w:rPr>
    </w:tblStylePr>
    <w:tblStylePr w:type="band2Horz">
      <w:rPr>
        <w:rFonts w:ascii="Arial" w:hAnsi="Arial"/>
        <w:sz w:val="20"/>
      </w:rPr>
    </w:tblStylePr>
  </w:style>
  <w:style w:type="character" w:styleId="Hyperlink">
    <w:name w:val="Hyperlink"/>
    <w:basedOn w:val="DefaultParagraphFont"/>
    <w:unhideWhenUsed/>
    <w:rsid w:val="00FA6D04"/>
    <w:rPr>
      <w:color w:val="DF1995" w:themeColor="text1"/>
      <w:u w:val="single"/>
    </w:rPr>
  </w:style>
  <w:style w:type="character" w:styleId="FollowedHyperlink">
    <w:name w:val="FollowedHyperlink"/>
    <w:basedOn w:val="DefaultParagraphFont"/>
    <w:uiPriority w:val="99"/>
    <w:semiHidden/>
    <w:unhideWhenUsed/>
    <w:rsid w:val="00FA6D04"/>
    <w:rPr>
      <w:color w:val="009CA6" w:themeColor="accent5"/>
      <w:u w:val="single"/>
    </w:rPr>
  </w:style>
  <w:style w:type="paragraph" w:styleId="Caption">
    <w:name w:val="caption"/>
    <w:basedOn w:val="Normal"/>
    <w:next w:val="Normal"/>
    <w:uiPriority w:val="35"/>
    <w:unhideWhenUsed/>
    <w:qFormat/>
    <w:rsid w:val="00E540BA"/>
    <w:pPr>
      <w:spacing w:after="200"/>
    </w:pPr>
    <w:rPr>
      <w:b/>
      <w:bCs/>
      <w:color w:val="DF1995" w:themeColor="text1"/>
      <w:sz w:val="18"/>
      <w:szCs w:val="18"/>
    </w:rPr>
  </w:style>
  <w:style w:type="character" w:styleId="CommentReference">
    <w:name w:val="annotation reference"/>
    <w:basedOn w:val="DefaultParagraphFont"/>
    <w:uiPriority w:val="99"/>
    <w:semiHidden/>
    <w:unhideWhenUsed/>
    <w:rsid w:val="00A421F1"/>
    <w:rPr>
      <w:sz w:val="16"/>
      <w:szCs w:val="16"/>
    </w:rPr>
  </w:style>
  <w:style w:type="paragraph" w:styleId="CommentText">
    <w:name w:val="annotation text"/>
    <w:basedOn w:val="Normal"/>
    <w:link w:val="CommentTextChar"/>
    <w:uiPriority w:val="99"/>
    <w:unhideWhenUsed/>
    <w:rsid w:val="00A421F1"/>
  </w:style>
  <w:style w:type="character" w:customStyle="1" w:styleId="CommentTextChar">
    <w:name w:val="Comment Text Char"/>
    <w:basedOn w:val="DefaultParagraphFont"/>
    <w:link w:val="CommentText"/>
    <w:uiPriority w:val="99"/>
    <w:rsid w:val="00A421F1"/>
    <w:rPr>
      <w:rFonts w:ascii="Arial" w:hAnsi="Arial"/>
    </w:rPr>
  </w:style>
  <w:style w:type="paragraph" w:styleId="CommentSubject">
    <w:name w:val="annotation subject"/>
    <w:basedOn w:val="CommentText"/>
    <w:next w:val="CommentText"/>
    <w:link w:val="CommentSubjectChar"/>
    <w:uiPriority w:val="99"/>
    <w:semiHidden/>
    <w:unhideWhenUsed/>
    <w:rsid w:val="00A421F1"/>
    <w:rPr>
      <w:b/>
      <w:bCs/>
    </w:rPr>
  </w:style>
  <w:style w:type="character" w:customStyle="1" w:styleId="CommentSubjectChar">
    <w:name w:val="Comment Subject Char"/>
    <w:basedOn w:val="CommentTextChar"/>
    <w:link w:val="CommentSubject"/>
    <w:uiPriority w:val="99"/>
    <w:semiHidden/>
    <w:rsid w:val="00A421F1"/>
    <w:rPr>
      <w:rFonts w:ascii="Arial" w:hAnsi="Arial"/>
      <w:b/>
      <w:bCs/>
    </w:rPr>
  </w:style>
  <w:style w:type="table" w:styleId="TableGridLight">
    <w:name w:val="Grid Table Light"/>
    <w:basedOn w:val="TableNormal"/>
    <w:uiPriority w:val="40"/>
    <w:rsid w:val="00E50F5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rsid w:val="009D3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wer">
    <w:name w:val="Answer"/>
    <w:basedOn w:val="Normal"/>
    <w:rsid w:val="009D3667"/>
    <w:pPr>
      <w:tabs>
        <w:tab w:val="right" w:pos="-142"/>
        <w:tab w:val="left" w:pos="284"/>
      </w:tabs>
      <w:spacing w:before="20" w:after="40" w:line="220" w:lineRule="exact"/>
      <w:ind w:right="731"/>
      <w:jc w:val="left"/>
      <w:outlineLvl w:val="0"/>
    </w:pPr>
    <w:rPr>
      <w:sz w:val="18"/>
      <w:lang w:val="x-none" w:eastAsia="x-none"/>
    </w:rPr>
  </w:style>
  <w:style w:type="paragraph" w:styleId="ListParagraph">
    <w:name w:val="List Paragraph"/>
    <w:basedOn w:val="Normal"/>
    <w:uiPriority w:val="34"/>
    <w:qFormat/>
    <w:rsid w:val="00F93B91"/>
    <w:pPr>
      <w:ind w:left="720"/>
      <w:contextualSpacing/>
    </w:pPr>
  </w:style>
  <w:style w:type="character" w:customStyle="1" w:styleId="UnresolvedMention1">
    <w:name w:val="Unresolved Mention1"/>
    <w:basedOn w:val="DefaultParagraphFont"/>
    <w:uiPriority w:val="99"/>
    <w:semiHidden/>
    <w:unhideWhenUsed/>
    <w:rsid w:val="004A7966"/>
    <w:rPr>
      <w:color w:val="605E5C"/>
      <w:shd w:val="clear" w:color="auto" w:fill="E1DFDD"/>
    </w:rPr>
  </w:style>
  <w:style w:type="character" w:customStyle="1" w:styleId="Heading1Char">
    <w:name w:val="Heading 1 Char"/>
    <w:basedOn w:val="DefaultParagraphFont"/>
    <w:link w:val="Heading1"/>
    <w:uiPriority w:val="99"/>
    <w:rsid w:val="00A06E61"/>
    <w:rPr>
      <w:rFonts w:ascii="Verdana" w:hAnsi="Verdana"/>
      <w:b/>
    </w:rPr>
  </w:style>
  <w:style w:type="character" w:customStyle="1" w:styleId="Heading2Char">
    <w:name w:val="Heading 2 Char"/>
    <w:basedOn w:val="DefaultParagraphFont"/>
    <w:link w:val="Heading2"/>
    <w:uiPriority w:val="99"/>
    <w:rsid w:val="00A06E61"/>
    <w:rPr>
      <w:rFonts w:ascii="Verdana" w:hAnsi="Verdana"/>
    </w:rPr>
  </w:style>
  <w:style w:type="character" w:customStyle="1" w:styleId="Heading3Char">
    <w:name w:val="Heading 3 Char"/>
    <w:basedOn w:val="DefaultParagraphFont"/>
    <w:link w:val="Heading3"/>
    <w:uiPriority w:val="99"/>
    <w:rsid w:val="00A06E61"/>
    <w:rPr>
      <w:rFonts w:ascii="Verdana" w:hAnsi="Verdana"/>
    </w:rPr>
  </w:style>
  <w:style w:type="character" w:customStyle="1" w:styleId="Heading4Char">
    <w:name w:val="Heading 4 Char"/>
    <w:basedOn w:val="DefaultParagraphFont"/>
    <w:link w:val="Heading4"/>
    <w:uiPriority w:val="99"/>
    <w:rsid w:val="00A06E61"/>
    <w:rPr>
      <w:rFonts w:ascii="Verdana" w:hAnsi="Verdana"/>
    </w:rPr>
  </w:style>
  <w:style w:type="character" w:customStyle="1" w:styleId="Heading5Char">
    <w:name w:val="Heading 5 Char"/>
    <w:basedOn w:val="DefaultParagraphFont"/>
    <w:link w:val="Heading5"/>
    <w:uiPriority w:val="99"/>
    <w:rsid w:val="00A06E61"/>
    <w:rPr>
      <w:rFonts w:ascii="Verdana" w:hAnsi="Verdana"/>
    </w:rPr>
  </w:style>
  <w:style w:type="paragraph" w:styleId="BodyText">
    <w:name w:val="Body Text"/>
    <w:basedOn w:val="Normal"/>
    <w:link w:val="BodyTextChar"/>
    <w:uiPriority w:val="99"/>
    <w:semiHidden/>
    <w:unhideWhenUsed/>
    <w:rsid w:val="00A06E61"/>
    <w:pPr>
      <w:spacing w:after="120"/>
    </w:pPr>
  </w:style>
  <w:style w:type="character" w:customStyle="1" w:styleId="BodyTextChar">
    <w:name w:val="Body Text Char"/>
    <w:basedOn w:val="DefaultParagraphFont"/>
    <w:link w:val="BodyText"/>
    <w:uiPriority w:val="99"/>
    <w:semiHidden/>
    <w:rsid w:val="00A06E61"/>
    <w:rPr>
      <w:rFonts w:ascii="Arial" w:hAnsi="Arial"/>
    </w:rPr>
  </w:style>
  <w:style w:type="paragraph" w:styleId="Revision">
    <w:name w:val="Revision"/>
    <w:hidden/>
    <w:uiPriority w:val="99"/>
    <w:semiHidden/>
    <w:rsid w:val="00362EB3"/>
    <w:rPr>
      <w:rFonts w:ascii="Arial" w:hAnsi="Arial"/>
    </w:rPr>
  </w:style>
  <w:style w:type="paragraph" w:customStyle="1" w:styleId="pf0">
    <w:name w:val="pf0"/>
    <w:basedOn w:val="Normal"/>
    <w:rsid w:val="001B350F"/>
    <w:pPr>
      <w:spacing w:before="100" w:beforeAutospacing="1" w:after="100" w:afterAutospacing="1"/>
      <w:jc w:val="left"/>
    </w:pPr>
    <w:rPr>
      <w:rFonts w:ascii="Times New Roman" w:hAnsi="Times New Roman"/>
      <w:sz w:val="24"/>
      <w:szCs w:val="24"/>
    </w:rPr>
  </w:style>
  <w:style w:type="character" w:customStyle="1" w:styleId="cf01">
    <w:name w:val="cf01"/>
    <w:basedOn w:val="DefaultParagraphFont"/>
    <w:rsid w:val="001B350F"/>
    <w:rPr>
      <w:rFonts w:ascii="Segoe UI" w:hAnsi="Segoe UI" w:cs="Segoe UI" w:hint="default"/>
      <w:sz w:val="18"/>
      <w:szCs w:val="18"/>
    </w:rPr>
  </w:style>
  <w:style w:type="character" w:customStyle="1" w:styleId="cf11">
    <w:name w:val="cf11"/>
    <w:basedOn w:val="DefaultParagraphFont"/>
    <w:rsid w:val="001B350F"/>
    <w:rPr>
      <w:rFonts w:ascii="Segoe UI" w:hAnsi="Segoe UI" w:cs="Segoe UI" w:hint="default"/>
      <w:sz w:val="18"/>
      <w:szCs w:val="18"/>
      <w:shd w:val="clear" w:color="auto" w:fill="FFFF00"/>
    </w:rPr>
  </w:style>
  <w:style w:type="character" w:customStyle="1" w:styleId="cf21">
    <w:name w:val="cf21"/>
    <w:basedOn w:val="DefaultParagraphFont"/>
    <w:rsid w:val="001B350F"/>
    <w:rPr>
      <w:rFonts w:ascii="Segoe UI" w:hAnsi="Segoe UI" w:cs="Segoe UI" w:hint="default"/>
      <w:b/>
      <w:bCs/>
      <w:sz w:val="18"/>
      <w:szCs w:val="18"/>
    </w:rPr>
  </w:style>
  <w:style w:type="paragraph" w:styleId="ListBullet">
    <w:name w:val="List Bullet"/>
    <w:basedOn w:val="Normal"/>
    <w:uiPriority w:val="99"/>
    <w:unhideWhenUsed/>
    <w:rsid w:val="00F864F6"/>
    <w:pPr>
      <w:numPr>
        <w:numId w:val="19"/>
      </w:numPr>
      <w:contextualSpacing/>
    </w:pPr>
  </w:style>
  <w:style w:type="character" w:customStyle="1" w:styleId="UnresolvedMention2">
    <w:name w:val="Unresolved Mention2"/>
    <w:basedOn w:val="DefaultParagraphFont"/>
    <w:uiPriority w:val="99"/>
    <w:semiHidden/>
    <w:unhideWhenUsed/>
    <w:rsid w:val="00B75746"/>
    <w:rPr>
      <w:color w:val="605E5C"/>
      <w:shd w:val="clear" w:color="auto" w:fill="E1DFDD"/>
    </w:rPr>
  </w:style>
  <w:style w:type="character" w:customStyle="1" w:styleId="ui-provider">
    <w:name w:val="ui-provider"/>
    <w:basedOn w:val="DefaultParagraphFont"/>
    <w:rsid w:val="009F04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761951">
      <w:bodyDiv w:val="1"/>
      <w:marLeft w:val="0"/>
      <w:marRight w:val="0"/>
      <w:marTop w:val="0"/>
      <w:marBottom w:val="0"/>
      <w:divBdr>
        <w:top w:val="none" w:sz="0" w:space="0" w:color="auto"/>
        <w:left w:val="none" w:sz="0" w:space="0" w:color="auto"/>
        <w:bottom w:val="none" w:sz="0" w:space="0" w:color="auto"/>
        <w:right w:val="none" w:sz="0" w:space="0" w:color="auto"/>
      </w:divBdr>
    </w:div>
    <w:div w:id="1559055075">
      <w:bodyDiv w:val="1"/>
      <w:marLeft w:val="0"/>
      <w:marRight w:val="0"/>
      <w:marTop w:val="0"/>
      <w:marBottom w:val="0"/>
      <w:divBdr>
        <w:top w:val="none" w:sz="0" w:space="0" w:color="auto"/>
        <w:left w:val="none" w:sz="0" w:space="0" w:color="auto"/>
        <w:bottom w:val="none" w:sz="0" w:space="0" w:color="auto"/>
        <w:right w:val="none" w:sz="0" w:space="0" w:color="auto"/>
      </w:divBdr>
    </w:div>
    <w:div w:id="1755318497">
      <w:bodyDiv w:val="1"/>
      <w:marLeft w:val="0"/>
      <w:marRight w:val="0"/>
      <w:marTop w:val="0"/>
      <w:marBottom w:val="0"/>
      <w:divBdr>
        <w:top w:val="none" w:sz="0" w:space="0" w:color="auto"/>
        <w:left w:val="none" w:sz="0" w:space="0" w:color="auto"/>
        <w:bottom w:val="none" w:sz="0" w:space="0" w:color="auto"/>
        <w:right w:val="none" w:sz="0" w:space="0" w:color="auto"/>
      </w:divBdr>
    </w:div>
    <w:div w:id="1995140160">
      <w:bodyDiv w:val="1"/>
      <w:marLeft w:val="0"/>
      <w:marRight w:val="0"/>
      <w:marTop w:val="0"/>
      <w:marBottom w:val="0"/>
      <w:divBdr>
        <w:top w:val="none" w:sz="0" w:space="0" w:color="auto"/>
        <w:left w:val="none" w:sz="0" w:space="0" w:color="auto"/>
        <w:bottom w:val="none" w:sz="0" w:space="0" w:color="auto"/>
        <w:right w:val="none" w:sz="0" w:space="0" w:color="auto"/>
      </w:divBdr>
    </w:div>
    <w:div w:id="2074235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utman.co.uk"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tutman.co.uk/privacy-notic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rustnet.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tel:+44%20(0)203%20405%206000" TargetMode="External"/><Relationship Id="rId4" Type="http://schemas.openxmlformats.org/officeDocument/2006/relationships/styles" Target="styles.xml"/><Relationship Id="rId9" Type="http://schemas.openxmlformats.org/officeDocument/2006/relationships/hyperlink" Target="http://www.tutman.co.uk"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MS\Blank%20Document.dotm" TargetMode="External"/></Relationships>
</file>

<file path=word/theme/theme1.xml><?xml version="1.0" encoding="utf-8"?>
<a:theme xmlns:a="http://schemas.openxmlformats.org/drawingml/2006/main" name="Office Theme">
  <a:themeElements>
    <a:clrScheme name="Burges Salmon Colour Palette">
      <a:dk1>
        <a:srgbClr val="DF1995"/>
      </a:dk1>
      <a:lt1>
        <a:srgbClr val="FFFFFF"/>
      </a:lt1>
      <a:dk2>
        <a:srgbClr val="000000"/>
      </a:dk2>
      <a:lt2>
        <a:srgbClr val="7C878E"/>
      </a:lt2>
      <a:accent1>
        <a:srgbClr val="EF3340"/>
      </a:accent1>
      <a:accent2>
        <a:srgbClr val="E18200"/>
      </a:accent2>
      <a:accent3>
        <a:srgbClr val="F2A900"/>
      </a:accent3>
      <a:accent4>
        <a:srgbClr val="68478D"/>
      </a:accent4>
      <a:accent5>
        <a:srgbClr val="009CA6"/>
      </a:accent5>
      <a:accent6>
        <a:srgbClr val="64A70B"/>
      </a:accent6>
      <a:hlink>
        <a:srgbClr val="DF1995"/>
      </a:hlink>
      <a:folHlink>
        <a:srgbClr val="E3E3E3"/>
      </a:folHlink>
    </a:clrScheme>
    <a:fontScheme name="Office">
      <a:majorFont>
        <a:latin typeface="Cambria"/>
        <a:ea typeface=""/>
        <a:cs typeface=""/>
        <a:font script="Jpan" typeface="ï¼­ï¼³ ã‚´ã‚·ãƒƒã‚¯"/>
        <a:font script="Hang" typeface="ë§‘ì€ ê³ ë”•"/>
        <a:font script="Hans" typeface="å®‹ä½“"/>
        <a:font script="Hant" typeface="æ–°ç´°æ˜Žé«”"/>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ï¼­ï¼³ æ˜Žæœ"/>
        <a:font script="Hang" typeface="ë§‘ì€ ê³ ë”•"/>
        <a:font script="Hans" typeface="å®‹ä½“"/>
        <a:font script="Hant" typeface="æ–°ç´°æ˜Žé«”"/>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 C L O U D _ U K ! 2 2 0 3 0 6 7 7 3 . 1 < / d o c u m e n t i d >  
     < s e n d e r i d > 1 4 1 3 9 < / s e n d e r i d >  
     < s e n d e r e m a i l > M I C H A E L A W A L K E R @ E V E R S H E D S - S U T H E R L A N D . C O M < / s e n d e r e m a i l >  
     < l a s t m o d i f i e d > 2 0 2 3 - 1 1 - 1 5 T 1 7 : 0 1 : 0 0 . 0 0 0 0 0 0 0 + 0 0 : 0 0 < / l a s t m o d i f i e d >  
     < d a t a b a s e > C L O U D _ U K < / 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79EA3-0980-4A0F-8976-7A35403AB6AE}">
  <ds:schemaRefs>
    <ds:schemaRef ds:uri="http://www.imanage.com/work/xmlschema"/>
  </ds:schemaRefs>
</ds:datastoreItem>
</file>

<file path=customXml/itemProps2.xml><?xml version="1.0" encoding="utf-8"?>
<ds:datastoreItem xmlns:ds="http://schemas.openxmlformats.org/officeDocument/2006/customXml" ds:itemID="{330638CB-7D88-443E-A0F3-904C8B066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 Document</Template>
  <TotalTime>0</TotalTime>
  <Pages>6</Pages>
  <Words>2235</Words>
  <Characters>12744</Characters>
  <Application>Microsoft Office Word</Application>
  <DocSecurity>0</DocSecurity>
  <Lines>106</Lines>
  <Paragraphs>29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Burges Salmon</Company>
  <LinksUpToDate>false</LinksUpToDate>
  <CharactersWithSpaces>14950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WORK\44156765\v.2</dc:subject>
  <dc:creator>Alex Gillespie</dc:creator>
  <cp:keywords>40485.134</cp:keywords>
  <cp:lastModifiedBy>LYON Darren</cp:lastModifiedBy>
  <cp:revision>3</cp:revision>
  <dcterms:created xsi:type="dcterms:W3CDTF">2023-11-28T17:47:00Z</dcterms:created>
  <dcterms:modified xsi:type="dcterms:W3CDTF">2023-12-04T09:44:00Z</dcterms:modified>
  <cp:category>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DocLibrary">
    <vt:lpwstr>CLOUD_UK</vt:lpwstr>
  </property>
  <property fmtid="{D5CDD505-2E9C-101B-9397-08002B2CF9AE}" pid="3" name="iMDocNumber">
    <vt:lpwstr>220306773</vt:lpwstr>
  </property>
  <property fmtid="{D5CDD505-2E9C-101B-9397-08002B2CF9AE}" pid="4" name="iMDocVersion">
    <vt:lpwstr>1</vt:lpwstr>
  </property>
  <property fmtid="{D5CDD505-2E9C-101B-9397-08002B2CF9AE}" pid="5" name="iMDocID">
    <vt:lpwstr>CLOUD_UK\220306773\1</vt:lpwstr>
  </property>
  <property fmtid="{D5CDD505-2E9C-101B-9397-08002B2CF9AE}" pid="6" name="MSIP_Label_797e4f81-4b1c-4a3a-b237-8636707719dc_Enabled">
    <vt:lpwstr>true</vt:lpwstr>
  </property>
  <property fmtid="{D5CDD505-2E9C-101B-9397-08002B2CF9AE}" pid="7" name="MSIP_Label_797e4f81-4b1c-4a3a-b237-8636707719dc_SetDate">
    <vt:lpwstr>2023-12-04T09:44:38Z</vt:lpwstr>
  </property>
  <property fmtid="{D5CDD505-2E9C-101B-9397-08002B2CF9AE}" pid="8" name="MSIP_Label_797e4f81-4b1c-4a3a-b237-8636707719dc_Method">
    <vt:lpwstr>Privileged</vt:lpwstr>
  </property>
  <property fmtid="{D5CDD505-2E9C-101B-9397-08002B2CF9AE}" pid="9" name="MSIP_Label_797e4f81-4b1c-4a3a-b237-8636707719dc_Name">
    <vt:lpwstr>797e4f81-4b1c-4a3a-b237-8636707719dc</vt:lpwstr>
  </property>
  <property fmtid="{D5CDD505-2E9C-101B-9397-08002B2CF9AE}" pid="10" name="MSIP_Label_797e4f81-4b1c-4a3a-b237-8636707719dc_SiteId">
    <vt:lpwstr>d5bb6d35-8a82-4329-b49a-5030bd6497ab</vt:lpwstr>
  </property>
  <property fmtid="{D5CDD505-2E9C-101B-9397-08002B2CF9AE}" pid="11" name="MSIP_Label_797e4f81-4b1c-4a3a-b237-8636707719dc_ActionId">
    <vt:lpwstr>d90cc532-4a5e-4cd5-9afc-43652196c511</vt:lpwstr>
  </property>
  <property fmtid="{D5CDD505-2E9C-101B-9397-08002B2CF9AE}" pid="12" name="MSIP_Label_797e4f81-4b1c-4a3a-b237-8636707719dc_ContentBits">
    <vt:lpwstr>2</vt:lpwstr>
  </property>
</Properties>
</file>