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151" w:rsidRDefault="00016151" w:rsidP="00016151">
      <w:pPr>
        <w:pStyle w:val="ListParagraph"/>
        <w:numPr>
          <w:ilvl w:val="0"/>
          <w:numId w:val="1"/>
        </w:numPr>
        <w:rPr>
          <w:rFonts w:ascii="Century Gothic" w:hAnsi="Century Gothic"/>
          <w:b/>
          <w:bCs/>
          <w:caps/>
          <w:sz w:val="20"/>
          <w:szCs w:val="20"/>
        </w:rPr>
      </w:pPr>
      <w:r>
        <w:rPr>
          <w:rFonts w:ascii="Century Gothic" w:hAnsi="Century Gothic"/>
          <w:b/>
          <w:bCs/>
          <w:caps/>
          <w:sz w:val="20"/>
          <w:szCs w:val="20"/>
        </w:rPr>
        <w:t>Changes to the way some funds are priced</w:t>
      </w:r>
    </w:p>
    <w:p w:rsidR="00016151" w:rsidRDefault="00016151" w:rsidP="00016151">
      <w:pPr>
        <w:pStyle w:val="ListParagraph"/>
        <w:ind w:left="360"/>
        <w:rPr>
          <w:rFonts w:ascii="Century Gothic" w:hAnsi="Century Gothic"/>
          <w:sz w:val="20"/>
          <w:szCs w:val="20"/>
        </w:rPr>
      </w:pPr>
      <w:r>
        <w:rPr>
          <w:rFonts w:ascii="Century Gothic" w:hAnsi="Century Gothic"/>
          <w:sz w:val="20"/>
          <w:szCs w:val="20"/>
        </w:rPr>
        <w:t>With effect from 29</w:t>
      </w:r>
      <w:r>
        <w:rPr>
          <w:rFonts w:ascii="Century Gothic" w:hAnsi="Century Gothic"/>
          <w:sz w:val="20"/>
          <w:szCs w:val="20"/>
          <w:vertAlign w:val="superscript"/>
        </w:rPr>
        <w:t>th</w:t>
      </w:r>
      <w:r>
        <w:rPr>
          <w:rFonts w:ascii="Century Gothic" w:hAnsi="Century Gothic"/>
          <w:sz w:val="20"/>
          <w:szCs w:val="20"/>
        </w:rPr>
        <w:t xml:space="preserve"> January 2018, the following </w:t>
      </w:r>
      <w:r>
        <w:rPr>
          <w:rFonts w:ascii="Century Gothic" w:hAnsi="Century Gothic"/>
          <w:b/>
          <w:bCs/>
          <w:sz w:val="20"/>
          <w:szCs w:val="20"/>
        </w:rPr>
        <w:t>Dual Priced</w:t>
      </w:r>
      <w:r>
        <w:rPr>
          <w:rFonts w:ascii="Century Gothic" w:hAnsi="Century Gothic"/>
          <w:sz w:val="20"/>
          <w:szCs w:val="20"/>
        </w:rPr>
        <w:t xml:space="preserve"> funds will become </w:t>
      </w:r>
      <w:r>
        <w:rPr>
          <w:rFonts w:ascii="Century Gothic" w:hAnsi="Century Gothic"/>
          <w:b/>
          <w:bCs/>
          <w:sz w:val="20"/>
          <w:szCs w:val="20"/>
        </w:rPr>
        <w:t>Single Priced:</w:t>
      </w:r>
      <w:r>
        <w:rPr>
          <w:rFonts w:ascii="Century Gothic" w:hAnsi="Century Gothic"/>
          <w:sz w:val="20"/>
          <w:szCs w:val="20"/>
        </w:rPr>
        <w:t xml:space="preserve"> </w:t>
      </w:r>
    </w:p>
    <w:p w:rsidR="00016151" w:rsidRDefault="00016151" w:rsidP="00016151">
      <w:pPr>
        <w:pStyle w:val="ListParagraph"/>
        <w:ind w:left="360"/>
        <w:rPr>
          <w:rFonts w:ascii="Century Gothic" w:hAnsi="Century Gothic"/>
          <w:sz w:val="20"/>
          <w:szCs w:val="20"/>
        </w:rPr>
      </w:pPr>
    </w:p>
    <w:tbl>
      <w:tblPr>
        <w:tblW w:w="8334" w:type="dxa"/>
        <w:tblInd w:w="604" w:type="dxa"/>
        <w:tblCellMar>
          <w:left w:w="0" w:type="dxa"/>
          <w:right w:w="0" w:type="dxa"/>
        </w:tblCellMar>
        <w:tblLook w:val="04A0" w:firstRow="1" w:lastRow="0" w:firstColumn="1" w:lastColumn="0" w:noHBand="0" w:noVBand="1"/>
      </w:tblPr>
      <w:tblGrid>
        <w:gridCol w:w="4252"/>
        <w:gridCol w:w="2041"/>
        <w:gridCol w:w="2041"/>
      </w:tblGrid>
      <w:tr w:rsidR="00016151" w:rsidTr="00016151">
        <w:trPr>
          <w:trHeight w:val="780"/>
        </w:trPr>
        <w:tc>
          <w:tcPr>
            <w:tcW w:w="42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16151" w:rsidRDefault="00016151">
            <w:pPr>
              <w:spacing w:line="276" w:lineRule="auto"/>
              <w:rPr>
                <w:rFonts w:ascii="Century Gothic" w:hAnsi="Century Gothic"/>
                <w:b/>
                <w:bCs/>
                <w:color w:val="000000"/>
                <w:sz w:val="18"/>
                <w:szCs w:val="18"/>
                <w:lang w:eastAsia="en-GB"/>
              </w:rPr>
            </w:pPr>
            <w:r>
              <w:rPr>
                <w:rFonts w:ascii="Century Gothic" w:hAnsi="Century Gothic"/>
                <w:b/>
                <w:bCs/>
                <w:color w:val="000000"/>
                <w:sz w:val="18"/>
                <w:szCs w:val="18"/>
                <w:lang w:eastAsia="en-GB"/>
              </w:rPr>
              <w:t xml:space="preserve">Fund </w:t>
            </w:r>
          </w:p>
        </w:tc>
        <w:tc>
          <w:tcPr>
            <w:tcW w:w="204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16151" w:rsidRDefault="00016151">
            <w:pPr>
              <w:spacing w:line="276" w:lineRule="auto"/>
              <w:jc w:val="center"/>
              <w:rPr>
                <w:rFonts w:ascii="Century Gothic" w:hAnsi="Century Gothic"/>
                <w:b/>
                <w:bCs/>
                <w:color w:val="000000"/>
                <w:sz w:val="18"/>
                <w:szCs w:val="18"/>
                <w:lang w:eastAsia="en-GB"/>
              </w:rPr>
            </w:pPr>
            <w:r>
              <w:rPr>
                <w:rFonts w:ascii="Century Gothic" w:hAnsi="Century Gothic"/>
                <w:b/>
                <w:bCs/>
                <w:color w:val="000000"/>
                <w:sz w:val="18"/>
                <w:szCs w:val="18"/>
                <w:lang w:eastAsia="en-GB"/>
              </w:rPr>
              <w:t>Pricing convention to 26 January 2018 (inclusive)</w:t>
            </w:r>
          </w:p>
        </w:tc>
        <w:tc>
          <w:tcPr>
            <w:tcW w:w="204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16151" w:rsidRDefault="00016151">
            <w:pPr>
              <w:spacing w:line="276" w:lineRule="auto"/>
              <w:jc w:val="center"/>
              <w:rPr>
                <w:rFonts w:ascii="Century Gothic" w:hAnsi="Century Gothic"/>
                <w:b/>
                <w:bCs/>
                <w:color w:val="000000"/>
                <w:sz w:val="18"/>
                <w:szCs w:val="18"/>
                <w:lang w:eastAsia="en-GB"/>
              </w:rPr>
            </w:pPr>
            <w:r>
              <w:rPr>
                <w:rFonts w:ascii="Century Gothic" w:hAnsi="Century Gothic"/>
                <w:b/>
                <w:bCs/>
                <w:color w:val="000000"/>
                <w:sz w:val="18"/>
                <w:szCs w:val="18"/>
                <w:lang w:eastAsia="en-GB"/>
              </w:rPr>
              <w:t>Pricing convention from 29 January 2018</w:t>
            </w:r>
          </w:p>
        </w:tc>
      </w:tr>
      <w:tr w:rsidR="00016151" w:rsidTr="00016151">
        <w:trPr>
          <w:trHeight w:val="240"/>
        </w:trPr>
        <w:tc>
          <w:tcPr>
            <w:tcW w:w="425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016151" w:rsidRDefault="00016151">
            <w:pPr>
              <w:spacing w:line="276" w:lineRule="auto"/>
              <w:rPr>
                <w:rFonts w:ascii="Century Gothic" w:hAnsi="Century Gothic"/>
                <w:sz w:val="18"/>
                <w:szCs w:val="18"/>
              </w:rPr>
            </w:pPr>
            <w:r>
              <w:rPr>
                <w:rFonts w:ascii="Century Gothic" w:hAnsi="Century Gothic"/>
                <w:sz w:val="18"/>
                <w:szCs w:val="18"/>
              </w:rPr>
              <w:t>Old Mutual Asia Pacific Fund</w:t>
            </w:r>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DUAL</w:t>
            </w:r>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SINGLE</w:t>
            </w:r>
          </w:p>
        </w:tc>
      </w:tr>
      <w:tr w:rsidR="00016151" w:rsidTr="00016151">
        <w:trPr>
          <w:trHeight w:val="240"/>
        </w:trPr>
        <w:tc>
          <w:tcPr>
            <w:tcW w:w="425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016151" w:rsidRDefault="00016151">
            <w:pPr>
              <w:spacing w:line="276" w:lineRule="auto"/>
              <w:rPr>
                <w:rFonts w:ascii="Century Gothic" w:hAnsi="Century Gothic"/>
                <w:sz w:val="18"/>
                <w:szCs w:val="18"/>
              </w:rPr>
            </w:pPr>
            <w:r>
              <w:rPr>
                <w:rFonts w:ascii="Century Gothic" w:hAnsi="Century Gothic"/>
                <w:sz w:val="18"/>
                <w:szCs w:val="18"/>
              </w:rPr>
              <w:t>Old Mutual Corporate Bond Fund</w:t>
            </w:r>
            <w:bookmarkStart w:id="0" w:name="_GoBack"/>
            <w:bookmarkEnd w:id="0"/>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DUAL</w:t>
            </w:r>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SINGLE</w:t>
            </w:r>
          </w:p>
        </w:tc>
      </w:tr>
      <w:tr w:rsidR="00016151" w:rsidTr="00016151">
        <w:trPr>
          <w:trHeight w:val="240"/>
        </w:trPr>
        <w:tc>
          <w:tcPr>
            <w:tcW w:w="425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016151" w:rsidRDefault="00016151">
            <w:pPr>
              <w:spacing w:line="276" w:lineRule="auto"/>
              <w:rPr>
                <w:rFonts w:ascii="Century Gothic" w:hAnsi="Century Gothic"/>
                <w:sz w:val="18"/>
                <w:szCs w:val="18"/>
              </w:rPr>
            </w:pPr>
            <w:r>
              <w:rPr>
                <w:rFonts w:ascii="Century Gothic" w:hAnsi="Century Gothic"/>
                <w:sz w:val="18"/>
                <w:szCs w:val="18"/>
              </w:rPr>
              <w:t>Old Mutual European Equity (ex UK) Fund</w:t>
            </w:r>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DUAL</w:t>
            </w:r>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SINGLE</w:t>
            </w:r>
          </w:p>
        </w:tc>
      </w:tr>
      <w:tr w:rsidR="00016151" w:rsidTr="00016151">
        <w:trPr>
          <w:trHeight w:val="240"/>
        </w:trPr>
        <w:tc>
          <w:tcPr>
            <w:tcW w:w="425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016151" w:rsidRDefault="00016151">
            <w:pPr>
              <w:spacing w:line="276" w:lineRule="auto"/>
              <w:rPr>
                <w:rFonts w:ascii="Century Gothic" w:hAnsi="Century Gothic"/>
                <w:sz w:val="18"/>
                <w:szCs w:val="18"/>
              </w:rPr>
            </w:pPr>
            <w:r>
              <w:rPr>
                <w:rFonts w:ascii="Century Gothic" w:hAnsi="Century Gothic"/>
                <w:sz w:val="18"/>
                <w:szCs w:val="18"/>
              </w:rPr>
              <w:t>Old Mutual Global Equity Fund</w:t>
            </w:r>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DUAL</w:t>
            </w:r>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SINGLE</w:t>
            </w:r>
          </w:p>
        </w:tc>
      </w:tr>
      <w:tr w:rsidR="00016151" w:rsidTr="00016151">
        <w:trPr>
          <w:trHeight w:val="240"/>
        </w:trPr>
        <w:tc>
          <w:tcPr>
            <w:tcW w:w="425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016151" w:rsidRDefault="00016151">
            <w:pPr>
              <w:spacing w:line="276" w:lineRule="auto"/>
              <w:rPr>
                <w:rFonts w:ascii="Century Gothic" w:hAnsi="Century Gothic"/>
                <w:sz w:val="18"/>
                <w:szCs w:val="18"/>
              </w:rPr>
            </w:pPr>
            <w:r>
              <w:rPr>
                <w:rFonts w:ascii="Century Gothic" w:hAnsi="Century Gothic"/>
                <w:sz w:val="18"/>
                <w:szCs w:val="18"/>
              </w:rPr>
              <w:t>Old Mutual Global Strategic Bond Fund</w:t>
            </w:r>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DUAL</w:t>
            </w:r>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SINGLE</w:t>
            </w:r>
          </w:p>
        </w:tc>
      </w:tr>
      <w:tr w:rsidR="00016151" w:rsidTr="00016151">
        <w:trPr>
          <w:trHeight w:val="240"/>
        </w:trPr>
        <w:tc>
          <w:tcPr>
            <w:tcW w:w="425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016151" w:rsidRDefault="00016151">
            <w:pPr>
              <w:spacing w:line="276" w:lineRule="auto"/>
              <w:rPr>
                <w:rFonts w:ascii="Century Gothic" w:hAnsi="Century Gothic"/>
                <w:sz w:val="18"/>
                <w:szCs w:val="18"/>
              </w:rPr>
            </w:pPr>
            <w:r>
              <w:rPr>
                <w:rFonts w:ascii="Century Gothic" w:hAnsi="Century Gothic"/>
                <w:sz w:val="18"/>
                <w:szCs w:val="18"/>
              </w:rPr>
              <w:t>Old Mutual Managed Fund</w:t>
            </w:r>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DUAL</w:t>
            </w:r>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SINGLE</w:t>
            </w:r>
          </w:p>
        </w:tc>
      </w:tr>
      <w:tr w:rsidR="00016151" w:rsidTr="00016151">
        <w:trPr>
          <w:trHeight w:val="240"/>
        </w:trPr>
        <w:tc>
          <w:tcPr>
            <w:tcW w:w="425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016151" w:rsidRDefault="00016151">
            <w:pPr>
              <w:spacing w:line="276" w:lineRule="auto"/>
              <w:rPr>
                <w:rFonts w:ascii="Century Gothic" w:hAnsi="Century Gothic"/>
                <w:sz w:val="18"/>
                <w:szCs w:val="18"/>
              </w:rPr>
            </w:pPr>
            <w:r>
              <w:rPr>
                <w:rFonts w:ascii="Century Gothic" w:hAnsi="Century Gothic"/>
                <w:sz w:val="18"/>
                <w:szCs w:val="18"/>
              </w:rPr>
              <w:t>Old Mutual Monthly Income Bond Fund</w:t>
            </w:r>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DUAL</w:t>
            </w:r>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SINGLE</w:t>
            </w:r>
          </w:p>
        </w:tc>
      </w:tr>
      <w:tr w:rsidR="00016151" w:rsidTr="00016151">
        <w:trPr>
          <w:trHeight w:val="240"/>
        </w:trPr>
        <w:tc>
          <w:tcPr>
            <w:tcW w:w="425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016151" w:rsidRDefault="00016151">
            <w:pPr>
              <w:spacing w:line="276" w:lineRule="auto"/>
              <w:rPr>
                <w:rFonts w:ascii="Century Gothic" w:hAnsi="Century Gothic"/>
                <w:sz w:val="18"/>
                <w:szCs w:val="18"/>
              </w:rPr>
            </w:pPr>
            <w:r>
              <w:rPr>
                <w:rFonts w:ascii="Century Gothic" w:hAnsi="Century Gothic"/>
                <w:sz w:val="18"/>
                <w:szCs w:val="18"/>
              </w:rPr>
              <w:t>Old Mutual North American Equity Fund</w:t>
            </w:r>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DUAL</w:t>
            </w:r>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SINGLE</w:t>
            </w:r>
          </w:p>
        </w:tc>
      </w:tr>
      <w:tr w:rsidR="00016151" w:rsidTr="00016151">
        <w:trPr>
          <w:trHeight w:val="240"/>
        </w:trPr>
        <w:tc>
          <w:tcPr>
            <w:tcW w:w="425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016151" w:rsidRDefault="00016151">
            <w:pPr>
              <w:spacing w:line="276" w:lineRule="auto"/>
              <w:rPr>
                <w:rFonts w:ascii="Century Gothic" w:hAnsi="Century Gothic"/>
                <w:sz w:val="18"/>
                <w:szCs w:val="18"/>
              </w:rPr>
            </w:pPr>
            <w:r>
              <w:rPr>
                <w:rFonts w:ascii="Century Gothic" w:hAnsi="Century Gothic"/>
                <w:sz w:val="18"/>
                <w:szCs w:val="18"/>
              </w:rPr>
              <w:t>Old Mutual UK Equity Fund</w:t>
            </w:r>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DUAL</w:t>
            </w:r>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SINGLE</w:t>
            </w:r>
          </w:p>
        </w:tc>
      </w:tr>
      <w:tr w:rsidR="00016151" w:rsidTr="00016151">
        <w:trPr>
          <w:trHeight w:val="240"/>
        </w:trPr>
        <w:tc>
          <w:tcPr>
            <w:tcW w:w="425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016151" w:rsidRDefault="00016151">
            <w:pPr>
              <w:spacing w:line="276" w:lineRule="auto"/>
              <w:rPr>
                <w:rFonts w:ascii="Century Gothic" w:hAnsi="Century Gothic"/>
                <w:sz w:val="18"/>
                <w:szCs w:val="18"/>
              </w:rPr>
            </w:pPr>
            <w:r>
              <w:rPr>
                <w:rFonts w:ascii="Century Gothic" w:hAnsi="Century Gothic"/>
                <w:sz w:val="18"/>
                <w:szCs w:val="18"/>
              </w:rPr>
              <w:t>Old Mutual UK Equity Income Fund</w:t>
            </w:r>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DUAL</w:t>
            </w:r>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SINGLE</w:t>
            </w:r>
          </w:p>
        </w:tc>
      </w:tr>
      <w:tr w:rsidR="00016151" w:rsidTr="00016151">
        <w:trPr>
          <w:trHeight w:val="240"/>
        </w:trPr>
        <w:tc>
          <w:tcPr>
            <w:tcW w:w="425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016151" w:rsidRDefault="00016151">
            <w:pPr>
              <w:spacing w:line="276" w:lineRule="auto"/>
              <w:rPr>
                <w:rFonts w:ascii="Century Gothic" w:hAnsi="Century Gothic"/>
                <w:sz w:val="18"/>
                <w:szCs w:val="18"/>
              </w:rPr>
            </w:pPr>
            <w:r>
              <w:rPr>
                <w:rFonts w:ascii="Century Gothic" w:hAnsi="Century Gothic"/>
                <w:sz w:val="18"/>
                <w:szCs w:val="18"/>
              </w:rPr>
              <w:t>Old Mutual UK Mid Cap Fund</w:t>
            </w:r>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DUAL</w:t>
            </w:r>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SINGLE</w:t>
            </w:r>
          </w:p>
        </w:tc>
      </w:tr>
      <w:tr w:rsidR="00016151" w:rsidTr="00016151">
        <w:trPr>
          <w:trHeight w:val="240"/>
        </w:trPr>
        <w:tc>
          <w:tcPr>
            <w:tcW w:w="425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016151" w:rsidRDefault="00016151">
            <w:pPr>
              <w:spacing w:line="276" w:lineRule="auto"/>
              <w:rPr>
                <w:rFonts w:ascii="Century Gothic" w:hAnsi="Century Gothic"/>
                <w:sz w:val="18"/>
                <w:szCs w:val="18"/>
              </w:rPr>
            </w:pPr>
            <w:r>
              <w:rPr>
                <w:rFonts w:ascii="Century Gothic" w:hAnsi="Century Gothic"/>
                <w:sz w:val="18"/>
                <w:szCs w:val="18"/>
              </w:rPr>
              <w:t>Old Mutual UK Opportunities Fund</w:t>
            </w:r>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DUAL</w:t>
            </w:r>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SINGLE</w:t>
            </w:r>
          </w:p>
        </w:tc>
      </w:tr>
      <w:tr w:rsidR="00016151" w:rsidTr="00016151">
        <w:trPr>
          <w:trHeight w:val="240"/>
        </w:trPr>
        <w:tc>
          <w:tcPr>
            <w:tcW w:w="425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016151" w:rsidRDefault="00016151">
            <w:pPr>
              <w:spacing w:line="276" w:lineRule="auto"/>
              <w:rPr>
                <w:rFonts w:ascii="Century Gothic" w:hAnsi="Century Gothic"/>
                <w:sz w:val="18"/>
                <w:szCs w:val="18"/>
              </w:rPr>
            </w:pPr>
            <w:r>
              <w:rPr>
                <w:rFonts w:ascii="Century Gothic" w:hAnsi="Century Gothic"/>
                <w:sz w:val="18"/>
                <w:szCs w:val="18"/>
              </w:rPr>
              <w:t>Old Mutual UK Smaller Companies Fund</w:t>
            </w:r>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DUAL</w:t>
            </w:r>
          </w:p>
        </w:tc>
        <w:tc>
          <w:tcPr>
            <w:tcW w:w="204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16151" w:rsidRDefault="00016151">
            <w:pPr>
              <w:spacing w:line="276" w:lineRule="auto"/>
              <w:jc w:val="center"/>
              <w:rPr>
                <w:rFonts w:ascii="Century Gothic" w:hAnsi="Century Gothic"/>
                <w:color w:val="000000"/>
                <w:sz w:val="18"/>
                <w:szCs w:val="18"/>
                <w:lang w:eastAsia="en-GB"/>
              </w:rPr>
            </w:pPr>
            <w:r>
              <w:rPr>
                <w:rFonts w:ascii="Century Gothic" w:hAnsi="Century Gothic"/>
                <w:color w:val="000000"/>
                <w:sz w:val="18"/>
                <w:szCs w:val="18"/>
                <w:lang w:eastAsia="en-GB"/>
              </w:rPr>
              <w:t>SINGLE</w:t>
            </w:r>
          </w:p>
        </w:tc>
      </w:tr>
    </w:tbl>
    <w:p w:rsidR="00016151" w:rsidRDefault="00016151" w:rsidP="00016151">
      <w:pPr>
        <w:pStyle w:val="ListParagraph"/>
        <w:ind w:left="360"/>
        <w:rPr>
          <w:rFonts w:ascii="Century Gothic" w:hAnsi="Century Gothic"/>
          <w:sz w:val="20"/>
          <w:szCs w:val="20"/>
        </w:rPr>
      </w:pPr>
    </w:p>
    <w:p w:rsidR="00016151" w:rsidRDefault="00016151" w:rsidP="00016151">
      <w:pPr>
        <w:pStyle w:val="ListParagraph"/>
        <w:ind w:left="360"/>
        <w:rPr>
          <w:rFonts w:ascii="Century Gothic" w:hAnsi="Century Gothic"/>
          <w:sz w:val="20"/>
          <w:szCs w:val="20"/>
        </w:rPr>
      </w:pPr>
      <w:r>
        <w:rPr>
          <w:rFonts w:ascii="Century Gothic" w:hAnsi="Century Gothic"/>
          <w:sz w:val="20"/>
          <w:szCs w:val="20"/>
        </w:rPr>
        <w:t>Please see attached file “</w:t>
      </w:r>
      <w:r>
        <w:rPr>
          <w:rFonts w:ascii="Century Gothic" w:hAnsi="Century Gothic"/>
          <w:b/>
          <w:bCs/>
          <w:i/>
          <w:iCs/>
          <w:sz w:val="18"/>
          <w:szCs w:val="18"/>
        </w:rPr>
        <w:t>PRICING CHANGES – DUAL TO SINGLE PRICING BY ISIN</w:t>
      </w:r>
      <w:r>
        <w:rPr>
          <w:rFonts w:ascii="Century Gothic" w:hAnsi="Century Gothic"/>
          <w:sz w:val="20"/>
          <w:szCs w:val="20"/>
        </w:rPr>
        <w:t>” for a full list of share classes/ISINs impacted by this change.</w:t>
      </w:r>
    </w:p>
    <w:p w:rsidR="00016151" w:rsidRDefault="00016151" w:rsidP="00016151">
      <w:pPr>
        <w:pStyle w:val="ListParagraph"/>
        <w:ind w:left="360"/>
        <w:rPr>
          <w:rFonts w:ascii="Century Gothic" w:hAnsi="Century Gothic"/>
          <w:sz w:val="20"/>
          <w:szCs w:val="20"/>
        </w:rPr>
      </w:pPr>
    </w:p>
    <w:p w:rsidR="00016151" w:rsidRDefault="00016151" w:rsidP="00016151">
      <w:pPr>
        <w:pStyle w:val="ListParagraph"/>
        <w:ind w:left="360"/>
        <w:rPr>
          <w:rFonts w:ascii="Century Gothic" w:hAnsi="Century Gothic"/>
          <w:b/>
          <w:bCs/>
          <w:sz w:val="20"/>
          <w:szCs w:val="20"/>
        </w:rPr>
      </w:pPr>
      <w:r>
        <w:rPr>
          <w:rFonts w:ascii="Century Gothic" w:hAnsi="Century Gothic"/>
          <w:b/>
          <w:bCs/>
          <w:sz w:val="20"/>
          <w:szCs w:val="20"/>
        </w:rPr>
        <w:t>Implications:</w:t>
      </w:r>
    </w:p>
    <w:p w:rsidR="00016151" w:rsidRDefault="00016151" w:rsidP="00016151">
      <w:pPr>
        <w:pStyle w:val="ListParagraph"/>
        <w:numPr>
          <w:ilvl w:val="0"/>
          <w:numId w:val="2"/>
        </w:numPr>
        <w:rPr>
          <w:rFonts w:ascii="Century Gothic" w:hAnsi="Century Gothic"/>
          <w:sz w:val="20"/>
          <w:szCs w:val="20"/>
        </w:rPr>
      </w:pPr>
      <w:r>
        <w:rPr>
          <w:rFonts w:ascii="Century Gothic" w:hAnsi="Century Gothic"/>
          <w:sz w:val="20"/>
          <w:szCs w:val="20"/>
        </w:rPr>
        <w:t xml:space="preserve">Fund dealing point and deal cut off: </w:t>
      </w:r>
    </w:p>
    <w:p w:rsidR="00016151" w:rsidRDefault="00016151" w:rsidP="00016151">
      <w:pPr>
        <w:pStyle w:val="ListParagraph"/>
        <w:ind w:left="1080"/>
        <w:rPr>
          <w:rFonts w:ascii="Century Gothic" w:hAnsi="Century Gothic"/>
          <w:sz w:val="20"/>
          <w:szCs w:val="20"/>
        </w:rPr>
      </w:pPr>
      <w:r>
        <w:rPr>
          <w:rFonts w:ascii="Century Gothic" w:hAnsi="Century Gothic"/>
          <w:sz w:val="20"/>
          <w:szCs w:val="20"/>
        </w:rPr>
        <w:t xml:space="preserve">We need to make a change to our systems after the 12 noon deal cut off on Friday 26 January 2018, so would ask that you do not submit any STP trades between noon on Friday 26 January 2018, and 08:00 on 29 January 2018, as they will be rejected. Please hold your STP trade instructions until 08:00 on 29 January, when we will be able to accept STP instructions again, for the 12 noon dealing point on the 29 January 2018. </w:t>
      </w:r>
    </w:p>
    <w:p w:rsidR="00016151" w:rsidRDefault="00016151" w:rsidP="00016151">
      <w:pPr>
        <w:pStyle w:val="ListParagraph"/>
        <w:numPr>
          <w:ilvl w:val="0"/>
          <w:numId w:val="2"/>
        </w:numPr>
        <w:rPr>
          <w:rFonts w:ascii="Century Gothic" w:hAnsi="Century Gothic"/>
          <w:sz w:val="20"/>
          <w:szCs w:val="20"/>
        </w:rPr>
      </w:pPr>
      <w:r>
        <w:rPr>
          <w:rFonts w:ascii="Century Gothic" w:hAnsi="Century Gothic"/>
          <w:sz w:val="20"/>
          <w:szCs w:val="20"/>
        </w:rPr>
        <w:t>Daily price files: the final OMPRICES.csv price files will be issued on the afternoon of Friday 26th January 2018. From Monday 29th January 2018, prices for the above funds will appear on the OldMutualPriceGrid_15:30.xls and OldMutualPriceGrid_16:00.xls price files. If you have a bespoke price feed, you will have been contacted separately to make alternative arrangements.</w:t>
      </w:r>
    </w:p>
    <w:p w:rsidR="00016151" w:rsidRDefault="00016151" w:rsidP="00016151">
      <w:pPr>
        <w:pStyle w:val="ListParagraph"/>
        <w:ind w:left="360"/>
        <w:rPr>
          <w:rFonts w:ascii="Century Gothic" w:hAnsi="Century Gothic"/>
          <w:sz w:val="20"/>
          <w:szCs w:val="20"/>
        </w:rPr>
      </w:pPr>
    </w:p>
    <w:p w:rsidR="00016151" w:rsidRDefault="00016151" w:rsidP="00016151">
      <w:pPr>
        <w:pStyle w:val="ListParagraph"/>
        <w:numPr>
          <w:ilvl w:val="0"/>
          <w:numId w:val="1"/>
        </w:numPr>
        <w:rPr>
          <w:rFonts w:ascii="Century Gothic" w:hAnsi="Century Gothic"/>
          <w:caps/>
          <w:sz w:val="20"/>
          <w:szCs w:val="20"/>
        </w:rPr>
      </w:pPr>
      <w:r>
        <w:rPr>
          <w:rFonts w:ascii="Century Gothic" w:hAnsi="Century Gothic"/>
          <w:b/>
          <w:bCs/>
          <w:caps/>
          <w:sz w:val="20"/>
          <w:szCs w:val="20"/>
        </w:rPr>
        <w:t>Introduction of a ‘fixed ongoing charge’</w:t>
      </w:r>
    </w:p>
    <w:p w:rsidR="00016151" w:rsidRDefault="00016151" w:rsidP="00016151">
      <w:pPr>
        <w:pStyle w:val="ListParagraph"/>
        <w:ind w:left="360"/>
        <w:rPr>
          <w:rFonts w:ascii="Century Gothic" w:hAnsi="Century Gothic"/>
          <w:sz w:val="20"/>
          <w:szCs w:val="20"/>
        </w:rPr>
      </w:pPr>
      <w:r>
        <w:rPr>
          <w:rFonts w:ascii="Century Gothic" w:hAnsi="Century Gothic"/>
          <w:sz w:val="20"/>
          <w:szCs w:val="20"/>
        </w:rPr>
        <w:t xml:space="preserve">On [1 March] 2018 we will introduce a ’fixed ongoing </w:t>
      </w:r>
      <w:proofErr w:type="gramStart"/>
      <w:r>
        <w:rPr>
          <w:rFonts w:ascii="Century Gothic" w:hAnsi="Century Gothic"/>
          <w:sz w:val="20"/>
          <w:szCs w:val="20"/>
        </w:rPr>
        <w:t>charge‘ across</w:t>
      </w:r>
      <w:proofErr w:type="gramEnd"/>
      <w:r>
        <w:rPr>
          <w:rFonts w:ascii="Century Gothic" w:hAnsi="Century Gothic"/>
          <w:sz w:val="20"/>
          <w:szCs w:val="20"/>
        </w:rPr>
        <w:t xml:space="preserve"> a number of our funds. This single figure will replace the existing annual management charge (‘AMC’) and the administration costs of the funds.</w:t>
      </w:r>
      <w:r>
        <w:t xml:space="preserve"> </w:t>
      </w:r>
      <w:r>
        <w:rPr>
          <w:rFonts w:ascii="Century Gothic" w:hAnsi="Century Gothic"/>
          <w:sz w:val="20"/>
          <w:szCs w:val="20"/>
        </w:rPr>
        <w:t>For the majority of funds, the fixed ongoing charge will be the same as the current OCF. However, for some funds the cost of investing will change.</w:t>
      </w:r>
    </w:p>
    <w:p w:rsidR="00016151" w:rsidRDefault="00016151" w:rsidP="00016151">
      <w:pPr>
        <w:pStyle w:val="ListParagraph"/>
        <w:ind w:left="360"/>
        <w:rPr>
          <w:rFonts w:ascii="Century Gothic" w:hAnsi="Century Gothic"/>
          <w:sz w:val="20"/>
          <w:szCs w:val="20"/>
        </w:rPr>
      </w:pPr>
    </w:p>
    <w:p w:rsidR="00016151" w:rsidRDefault="00016151" w:rsidP="00016151">
      <w:pPr>
        <w:pStyle w:val="ListParagraph"/>
        <w:ind w:left="360"/>
        <w:rPr>
          <w:rFonts w:ascii="Century Gothic" w:hAnsi="Century Gothic"/>
          <w:sz w:val="20"/>
          <w:szCs w:val="20"/>
        </w:rPr>
      </w:pPr>
      <w:r>
        <w:rPr>
          <w:rFonts w:ascii="Century Gothic" w:hAnsi="Century Gothic"/>
          <w:sz w:val="20"/>
          <w:szCs w:val="20"/>
        </w:rPr>
        <w:t>Please see attached file “</w:t>
      </w:r>
      <w:r>
        <w:rPr>
          <w:rFonts w:ascii="Century Gothic" w:hAnsi="Century Gothic"/>
          <w:b/>
          <w:bCs/>
          <w:i/>
          <w:iCs/>
          <w:sz w:val="18"/>
          <w:szCs w:val="18"/>
        </w:rPr>
        <w:t>PRICING CHANGES – FIXED ONGOING CHARGE BY ISIN</w:t>
      </w:r>
      <w:r>
        <w:rPr>
          <w:rFonts w:ascii="Century Gothic" w:hAnsi="Century Gothic"/>
          <w:sz w:val="20"/>
          <w:szCs w:val="20"/>
        </w:rPr>
        <w:t>” for a full list of share classes/ISINs impacted by this change.</w:t>
      </w:r>
    </w:p>
    <w:p w:rsidR="00016151" w:rsidRDefault="00016151" w:rsidP="00016151">
      <w:pPr>
        <w:pStyle w:val="ListParagraph"/>
        <w:ind w:left="360"/>
        <w:rPr>
          <w:rFonts w:ascii="Century Gothic" w:hAnsi="Century Gothic"/>
          <w:sz w:val="20"/>
          <w:szCs w:val="20"/>
        </w:rPr>
      </w:pPr>
    </w:p>
    <w:p w:rsidR="00016151" w:rsidRDefault="00016151" w:rsidP="00016151">
      <w:pPr>
        <w:pStyle w:val="ListParagraph"/>
        <w:ind w:left="360"/>
        <w:rPr>
          <w:rFonts w:ascii="Century Gothic" w:hAnsi="Century Gothic"/>
          <w:b/>
          <w:bCs/>
          <w:sz w:val="20"/>
          <w:szCs w:val="20"/>
        </w:rPr>
      </w:pPr>
      <w:r>
        <w:rPr>
          <w:rFonts w:ascii="Century Gothic" w:hAnsi="Century Gothic"/>
          <w:b/>
          <w:bCs/>
          <w:sz w:val="20"/>
          <w:szCs w:val="20"/>
        </w:rPr>
        <w:t>Implications:</w:t>
      </w:r>
    </w:p>
    <w:p w:rsidR="00016151" w:rsidRDefault="00016151" w:rsidP="00016151">
      <w:pPr>
        <w:pStyle w:val="ListParagraph"/>
        <w:numPr>
          <w:ilvl w:val="0"/>
          <w:numId w:val="3"/>
        </w:numPr>
        <w:rPr>
          <w:rFonts w:ascii="Century Gothic" w:hAnsi="Century Gothic"/>
          <w:sz w:val="20"/>
          <w:szCs w:val="20"/>
        </w:rPr>
      </w:pPr>
      <w:r>
        <w:rPr>
          <w:rFonts w:ascii="Century Gothic" w:hAnsi="Century Gothic"/>
          <w:sz w:val="20"/>
          <w:szCs w:val="20"/>
        </w:rPr>
        <w:lastRenderedPageBreak/>
        <w:t>Presentation of fund fees and expenses: the fixed ongoing charge is equivalent to the Ongoing Charge, but there will no longer be a number equivalent to the AMC.  This may mean that you need to present our costs and charges data differently on your systems. Our data providers have also been updated, so any feeds that you receive from them will be updated at the same point.</w:t>
      </w:r>
    </w:p>
    <w:p w:rsidR="00016151" w:rsidRDefault="00016151" w:rsidP="00016151">
      <w:pPr>
        <w:pStyle w:val="ListParagraph"/>
        <w:numPr>
          <w:ilvl w:val="0"/>
          <w:numId w:val="3"/>
        </w:numPr>
        <w:rPr>
          <w:rFonts w:ascii="Century Gothic" w:hAnsi="Century Gothic"/>
          <w:sz w:val="20"/>
          <w:szCs w:val="20"/>
        </w:rPr>
      </w:pPr>
      <w:r>
        <w:rPr>
          <w:rFonts w:ascii="Century Gothic" w:hAnsi="Century Gothic"/>
          <w:sz w:val="20"/>
          <w:szCs w:val="20"/>
        </w:rPr>
        <w:t>Rebates: if you currently have a distribution and/or rebate agreement with us in relation to the funds impacted by this change, we will contact you shortly regarding updates to those agreements reflecting the new charging structure. Please note that it is not anticipated that what you pay for the funds or receive as a rebate will change.</w:t>
      </w:r>
    </w:p>
    <w:p w:rsidR="00016151" w:rsidRDefault="00016151" w:rsidP="00016151">
      <w:pPr>
        <w:pStyle w:val="ListParagraph"/>
        <w:ind w:left="360"/>
        <w:rPr>
          <w:rFonts w:ascii="Century Gothic" w:hAnsi="Century Gothic"/>
          <w:sz w:val="20"/>
          <w:szCs w:val="20"/>
        </w:rPr>
      </w:pPr>
    </w:p>
    <w:p w:rsidR="00016151" w:rsidRDefault="00016151" w:rsidP="00016151">
      <w:pPr>
        <w:pStyle w:val="ListParagraph"/>
        <w:numPr>
          <w:ilvl w:val="0"/>
          <w:numId w:val="1"/>
        </w:numPr>
        <w:rPr>
          <w:rFonts w:ascii="Century Gothic" w:hAnsi="Century Gothic"/>
          <w:b/>
          <w:bCs/>
          <w:caps/>
          <w:sz w:val="20"/>
          <w:szCs w:val="20"/>
        </w:rPr>
      </w:pPr>
      <w:r>
        <w:rPr>
          <w:rFonts w:ascii="Century Gothic" w:hAnsi="Century Gothic"/>
          <w:b/>
          <w:bCs/>
          <w:caps/>
          <w:sz w:val="20"/>
          <w:szCs w:val="20"/>
        </w:rPr>
        <w:t>Changes to the dilution policy of certain funds</w:t>
      </w:r>
    </w:p>
    <w:p w:rsidR="00016151" w:rsidRDefault="00016151" w:rsidP="00016151">
      <w:pPr>
        <w:ind w:left="360"/>
        <w:rPr>
          <w:rFonts w:ascii="Century Gothic" w:hAnsi="Century Gothic"/>
          <w:sz w:val="20"/>
          <w:szCs w:val="20"/>
        </w:rPr>
      </w:pPr>
      <w:r>
        <w:rPr>
          <w:rFonts w:ascii="Century Gothic" w:hAnsi="Century Gothic"/>
          <w:sz w:val="20"/>
          <w:szCs w:val="20"/>
        </w:rPr>
        <w:t>With effect from 29</w:t>
      </w:r>
      <w:r>
        <w:rPr>
          <w:rFonts w:ascii="Century Gothic" w:hAnsi="Century Gothic"/>
          <w:sz w:val="20"/>
          <w:szCs w:val="20"/>
          <w:vertAlign w:val="superscript"/>
        </w:rPr>
        <w:t>th</w:t>
      </w:r>
      <w:r>
        <w:rPr>
          <w:rFonts w:ascii="Century Gothic" w:hAnsi="Century Gothic"/>
          <w:sz w:val="20"/>
          <w:szCs w:val="20"/>
        </w:rPr>
        <w:t xml:space="preserve"> January 2018, we will be changing the way we manage dilution on the following fund(s):</w:t>
      </w:r>
    </w:p>
    <w:p w:rsidR="00016151" w:rsidRDefault="00016151" w:rsidP="00016151">
      <w:pPr>
        <w:ind w:left="360"/>
        <w:rPr>
          <w:rFonts w:ascii="Century Gothic" w:hAnsi="Century Gothic"/>
          <w:sz w:val="20"/>
          <w:szCs w:val="20"/>
        </w:rPr>
      </w:pPr>
    </w:p>
    <w:p w:rsidR="00016151" w:rsidRDefault="00016151" w:rsidP="00016151">
      <w:pPr>
        <w:pStyle w:val="ListParagraph"/>
        <w:numPr>
          <w:ilvl w:val="0"/>
          <w:numId w:val="4"/>
        </w:numPr>
        <w:rPr>
          <w:rFonts w:ascii="Century Gothic" w:hAnsi="Century Gothic"/>
          <w:sz w:val="20"/>
          <w:szCs w:val="20"/>
        </w:rPr>
      </w:pPr>
      <w:r>
        <w:rPr>
          <w:rFonts w:ascii="Century Gothic" w:hAnsi="Century Gothic"/>
          <w:sz w:val="20"/>
          <w:szCs w:val="20"/>
        </w:rPr>
        <w:t>Old Mutual UK Alpha Fund</w:t>
      </w:r>
    </w:p>
    <w:p w:rsidR="00016151" w:rsidRDefault="00016151" w:rsidP="00016151">
      <w:pPr>
        <w:pStyle w:val="ListParagraph"/>
        <w:numPr>
          <w:ilvl w:val="0"/>
          <w:numId w:val="4"/>
        </w:numPr>
        <w:rPr>
          <w:rFonts w:ascii="Century Gothic" w:hAnsi="Century Gothic"/>
          <w:sz w:val="20"/>
          <w:szCs w:val="20"/>
        </w:rPr>
      </w:pPr>
      <w:r>
        <w:rPr>
          <w:rFonts w:ascii="Century Gothic" w:hAnsi="Century Gothic"/>
          <w:sz w:val="20"/>
          <w:szCs w:val="20"/>
        </w:rPr>
        <w:t>[Old Mutual Ethical Fund]</w:t>
      </w:r>
    </w:p>
    <w:p w:rsidR="00016151" w:rsidRDefault="00016151" w:rsidP="00016151">
      <w:pPr>
        <w:pStyle w:val="ListParagraph"/>
        <w:ind w:left="1080"/>
        <w:rPr>
          <w:rFonts w:ascii="Century Gothic" w:hAnsi="Century Gothic"/>
          <w:sz w:val="20"/>
          <w:szCs w:val="20"/>
        </w:rPr>
      </w:pPr>
    </w:p>
    <w:p w:rsidR="00016151" w:rsidRDefault="00016151" w:rsidP="00016151">
      <w:pPr>
        <w:ind w:left="720"/>
        <w:rPr>
          <w:rFonts w:ascii="Century Gothic" w:hAnsi="Century Gothic"/>
          <w:sz w:val="20"/>
          <w:szCs w:val="20"/>
        </w:rPr>
      </w:pPr>
      <w:r>
        <w:rPr>
          <w:rFonts w:ascii="Century Gothic" w:hAnsi="Century Gothic"/>
          <w:sz w:val="20"/>
          <w:szCs w:val="20"/>
        </w:rPr>
        <w:t>Currently, when these funds are typically expanding or contracting we may apply a dilution adjustment on a semi-permanent basis to reflect the trend of net flows into or out of the fund. From 29 January 2018 we will instead assess the requirement to make a dilution adjustment based on the level of flows on a particular day. We believe this change will more effectively safeguard the funds against the effects of dilution and as a result lead to a better outcome for investors.</w:t>
      </w:r>
    </w:p>
    <w:p w:rsidR="00F5569B" w:rsidRDefault="00F5569B"/>
    <w:sectPr w:rsidR="00F5569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54DCA"/>
    <w:multiLevelType w:val="hybridMultilevel"/>
    <w:tmpl w:val="F5FC8D0A"/>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nsid w:val="68FA17AB"/>
    <w:multiLevelType w:val="hybridMultilevel"/>
    <w:tmpl w:val="51EADC22"/>
    <w:lvl w:ilvl="0" w:tplc="0809000F">
      <w:start w:val="1"/>
      <w:numFmt w:val="decimal"/>
      <w:lvlText w:val="%1."/>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nsid w:val="6B817CBB"/>
    <w:multiLevelType w:val="hybridMultilevel"/>
    <w:tmpl w:val="76F624DC"/>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
    <w:nsid w:val="73695DDA"/>
    <w:multiLevelType w:val="hybridMultilevel"/>
    <w:tmpl w:val="3916628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151"/>
    <w:rsid w:val="00016151"/>
    <w:rsid w:val="0009627F"/>
    <w:rsid w:val="00F556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151"/>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ListParagraph">
    <w:name w:val="List Paragraph"/>
    <w:basedOn w:val="Normal"/>
    <w:uiPriority w:val="34"/>
    <w:qFormat/>
    <w:rsid w:val="00016151"/>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151"/>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ListParagraph">
    <w:name w:val="List Paragraph"/>
    <w:basedOn w:val="Normal"/>
    <w:uiPriority w:val="34"/>
    <w:qFormat/>
    <w:rsid w:val="0001615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29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14E8D04C</Template>
  <TotalTime>0</TotalTime>
  <Pages>2</Pages>
  <Words>644</Words>
  <Characters>3136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International Financial Data Services</Company>
  <LinksUpToDate>false</LinksUpToDate>
  <CharactersWithSpaces>3773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Tim</dc:creator>
  <cp:lastModifiedBy>Springall, Laura</cp:lastModifiedBy>
  <cp:revision>2</cp:revision>
  <dcterms:created xsi:type="dcterms:W3CDTF">2018-01-11T14:15:00Z</dcterms:created>
  <dcterms:modified xsi:type="dcterms:W3CDTF">2018-01-11T14:15:00Z</dcterms:modified>
</cp:coreProperties>
</file>